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5ugy9q5cib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SUBSTITUTIVO Nº 01, DE 23 DE DEZEMBRO DE 2025 AO PROJETO DE RESOLUÇÃO Nº 573, DE 19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453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Acrescenta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Anexo Único na Resolução nº 497, de 19 de novembro de 2025, que “Aprova o Regimento Interno da Câmara Municipal de Timóteo e dá outras providências.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453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ind w:firstLine="85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TIMÓTEO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firstLine="85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firstLine="85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criado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Resolução nº 497, de 19 de novembro de 2025, com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ind w:left="85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Presidente da Câmara Municipal poderá, em caráter excepcional e devidamente justificado, convocar Reuniões do Plenário e das Comissões em formato híbrido ou remoto.</w:t>
      </w:r>
    </w:p>
    <w:p w:rsidR="00000000" w:rsidDel="00000000" w:rsidP="00000000" w:rsidRDefault="00000000" w:rsidRPr="00000000" w14:paraId="0000000A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Entende-se por Reunião remota aquela realizada integralmente em ambiente virtual, com o objetivo de garantir a continuidade dos trabalhos legislativos, assegurada a publicidade dos atos mediante transmissão ao vivo pelos canais oficiais de comunicação do Poder Legislativo Municipal.</w:t>
      </w:r>
    </w:p>
    <w:p w:rsidR="00000000" w:rsidDel="00000000" w:rsidP="00000000" w:rsidRDefault="00000000" w:rsidRPr="00000000" w14:paraId="0000000B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Entende-se por Reunião híbrida aquela realizada em formato semipresencial, permitindo a participação dos parlamentares de forma presencial ou remota.</w:t>
      </w:r>
    </w:p>
    <w:p w:rsidR="00000000" w:rsidDel="00000000" w:rsidP="00000000" w:rsidRDefault="00000000" w:rsidRPr="00000000" w14:paraId="0000000C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forma de realização da Reunião deverá constar expressamente no ato de convocação.</w:t>
      </w:r>
    </w:p>
    <w:p w:rsidR="00000000" w:rsidDel="00000000" w:rsidP="00000000" w:rsidRDefault="00000000" w:rsidRPr="00000000" w14:paraId="0000000D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hipótese da modalidade remota, nos termos do § 1º do art. 1º deste Anexo, a Reunião será considerada realizada fora da sede da Câmara Municipal.</w:t>
      </w:r>
    </w:p>
    <w:p w:rsidR="00000000" w:rsidDel="00000000" w:rsidP="00000000" w:rsidRDefault="00000000" w:rsidRPr="00000000" w14:paraId="0000000E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Presidente da Câmara, o Secretário Administrativo e o Procurador-Geral poderão convocar servidores considerados essenciais à realização das Reuniões remotas ou híbridas.</w:t>
      </w:r>
    </w:p>
    <w:p w:rsidR="00000000" w:rsidDel="00000000" w:rsidP="00000000" w:rsidRDefault="00000000" w:rsidRPr="00000000" w14:paraId="0000000F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regime de Reunião remota ou híbrida, a Administração da Câmara prestará suporte técnico aos parlamentares e servidores para utilização da plataforma digital adotada, preferencialmente a plataforma gratuita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“Jitsi Meet”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disponibilizada pelo Programa Interlegis do Senado Federal.</w:t>
      </w:r>
    </w:p>
    <w:p w:rsidR="00000000" w:rsidDel="00000000" w:rsidP="00000000" w:rsidRDefault="00000000" w:rsidRPr="00000000" w14:paraId="00000010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Vereadores e servidores que participarem das Reuniões remotamente deverão providenciar a instalação do software, aplicativo ou ferramenta equivalente indicada pela Câmara Municipal, com o apoio do setor de informática, sob pena de serem considerados ausentes.</w:t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Compete ao Vereador que participar da Reunião remotamente:</w:t>
      </w:r>
    </w:p>
    <w:p w:rsidR="00000000" w:rsidDel="00000000" w:rsidP="00000000" w:rsidRDefault="00000000" w:rsidRPr="00000000" w14:paraId="00000012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providenciar equipamento compatível com conexão à internet em banda larga, que permita adequada transmissão e recepção de áudio e vídeo;</w:t>
      </w:r>
    </w:p>
    <w:p w:rsidR="00000000" w:rsidDel="00000000" w:rsidP="00000000" w:rsidRDefault="00000000" w:rsidRPr="00000000" w14:paraId="00000013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utilizar equipamento dotado de câmera frontal em funcionamento;</w:t>
      </w:r>
    </w:p>
    <w:p w:rsidR="00000000" w:rsidDel="00000000" w:rsidP="00000000" w:rsidRDefault="00000000" w:rsidRPr="00000000" w14:paraId="00000014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fornecer número de telefone e/ou endereço eletrônico alternativo para contato, em caso de falha do sistema de videoconferência;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manter-se conectado pessoalmente ao sistema durante toda a duração da Reunião, vedada a substituição por terceiros;</w:t>
      </w:r>
    </w:p>
    <w:p w:rsidR="00000000" w:rsidDel="00000000" w:rsidP="00000000" w:rsidRDefault="00000000" w:rsidRPr="00000000" w14:paraId="00000016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evitar a exposição de pessoas que não integrem o Parlamento;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manter a câmera ligada durante todo o período da Reunião;</w:t>
      </w:r>
    </w:p>
    <w:p w:rsidR="00000000" w:rsidDel="00000000" w:rsidP="00000000" w:rsidRDefault="00000000" w:rsidRPr="00000000" w14:paraId="00000018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 – portar-se com vestuário compatível com a dignidade do cargo durante a realização da Reunião.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0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§ 7º do art. 267 da Resolução nº 497, de 19 de novembro de 2025, passa a vigorar com a seguinte redação:</w:t>
      </w:r>
    </w:p>
    <w:p w:rsidR="00000000" w:rsidDel="00000000" w:rsidP="00000000" w:rsidRDefault="00000000" w:rsidRPr="00000000" w14:paraId="0000001A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1B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7º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Reuniões da Câmara serão, preferencialmente, presenciais, admitida a realização em formato remoto ou híbrido, nos termos do Anexo Único deste Regimento Interno.</w:t>
      </w:r>
    </w:p>
    <w:p w:rsidR="00000000" w:rsidDel="00000000" w:rsidP="00000000" w:rsidRDefault="00000000" w:rsidRPr="00000000" w14:paraId="0000001C">
      <w:pPr>
        <w:spacing w:after="280" w:before="280" w:line="24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resolução entra em vigor na data da sua publicação.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23 de dezembro de 2025.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Diogo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Renara Cristina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Leninha Dimas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Raimundinho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  <w:cols w:equalWidth="0" w:num="2">
            <w:col w:space="282" w:w="4394.499999999999"/>
            <w:col w:space="0" w:w="4394.49999999999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200" w:before="0" w:line="276" w:lineRule="auto"/>
        <w:jc w:val="left"/>
        <w:rPr/>
        <w:sectPr>
          <w:type w:val="continuous"/>
          <w:pgSz w:h="16838" w:w="11906" w:orient="portrait"/>
          <w:pgMar w:bottom="1134" w:top="2268" w:left="1701" w:right="1134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0" w:line="240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hy2o8pe1hrc1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REDAÇÃO FINAL DO SUBSTITUTIVO Nº 01, DE 24 DE DEZEMBRO DE 2025 AO PROJETO DE RESOLUÇÃO Nº 573, DE 19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Acrescenta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Anexo Único na Resolução nº 497, de 19 de novembro de 2025, que “Aprova o Regimento Interno da Câmara Municipal de Timóteo e dá outras providências.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ind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CÂMARA MUNICIPAL DE TIMÓTEO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0" w:line="240" w:lineRule="auto"/>
        <w:ind w:firstLine="85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before="0" w:line="240" w:lineRule="auto"/>
        <w:ind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criado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Resolução nº 497, de 19 de novembro de 2025, com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ind w:left="85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Presidente da Câmara Municipal poderá, em caráter excepcional e devidamente justificado, convocar Reuniões do Plenário e das Comissões em formato híbrido ou remoto.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Entende-se por Reunião remota aquela realizada integralmente em ambiente virtual, com o objetivo de garantir a continuidade dos trabalhos legislativos, assegurada a publicidade dos atos mediante transmissão ao vivo pelos canais oficiais de comunicação do Poder Legislativo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Entende-se por Reunião híbrida aquela realizada em formato semipresencial, permitindo a participação dos parlamentares de forma presencial ou remota.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forma de realização da Reunião deverá constar expressamente no ato de convocação.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hipótese da modalidade remota, nos termos do § 1º do art. 1º deste Anexo, a Reunião será considerada realizada fora da sede da Câmara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Presidente da Câmara, o Secretário Administrativo e o Procurador-Geral poderão convocar servidores considerados essenciais à realização das Reuniões remotas ou híbridas.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regime de Reunião remota ou híbrida, a Administração da Câmara prestará suporte técnico aos parlamentares e servidores para utilização da plataforma digital adotada, preferencialmente a plataforma gratuita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rtl w:val="0"/>
        </w:rPr>
        <w:t xml:space="preserve">“Jitsi Meet”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disponibilizada pelo Programa Interlegis do Senado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Vereadores e servidores que participarem das Reuniões remotamente deverão providenciar a instalação do software, aplicativo ou ferramenta equivalente indicada pela Câmara Municipal, com o apoio do setor de informática, sob pena de serem considerados ausentes.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Compete ao Vereador que participar da Reunião remotamente: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providenciar equipamento compatível com conexão à internet em banda larga, que permita adequada transmissão e recepção de áudio e vídeo;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utilizar equipamento dotado de câmera frontal em funcionamento;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fornecer número de telefone e/ou endereço eletrônico alternativo para contato, em caso de falha do sistema de videoconferência;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manter-se conectado pessoalmente ao sistema durante toda a duração da Reunião, vedada a substituição por terceiros;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evitar a exposição de pessoas que não integrem o Parlamento;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 – manter a câmera ligada durante todo o período da Reunião;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VII – portar-se com vestuário compatível com a dignidade do cargo durante a realização da Reunião.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0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§ 7º do art. 267 da Resolução nº 497, de 19 de novembro de 2025, passa a vigorar com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267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7º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Reuniões da Câmara serão, preferencialmente, presenciais, admitida a realização em formato remoto ou híbrido, nos termos do Anexo Único deste Regimento Interno.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resolução entra em vigor na data da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shd w:fill="ffffff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24 de dezembro de 2025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CONSTITUIÇÃO E JUSTIÇA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Raimundo Nonato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</w:t>
      </w:r>
    </w:p>
    <w:sectPr>
      <w:type w:val="nextPage"/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2Char" w:customStyle="1">
    <w:name w:val="Título 2 Char"/>
    <w:basedOn w:val="DefaultParagraphFont"/>
    <w:uiPriority w:val="9"/>
    <w:qFormat w:val="1"/>
    <w:rsid w:val="001B54A0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Ttulo3Char" w:customStyle="1">
    <w:name w:val="Título 3 Char"/>
    <w:basedOn w:val="DefaultParagraphFont"/>
    <w:uiPriority w:val="9"/>
    <w:qFormat w:val="1"/>
    <w:rsid w:val="001B54A0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 w:val="1"/>
    <w:rsid w:val="001B54A0"/>
    <w:rPr>
      <w:b w:val="1"/>
      <w:bCs w:val="1"/>
    </w:rPr>
  </w:style>
  <w:style w:type="paragraph" w:styleId="Ttulo">
    <w:name w:val="Título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Ttulouser">
    <w:name w:val="Título (user)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user">
    <w:name w:val="Índice (user)"/>
    <w:basedOn w:val="normal1"/>
    <w:qFormat w:val="1"/>
    <w:pPr>
      <w:suppressLineNumbers w:val="1"/>
    </w:pPr>
    <w:rPr>
      <w:rFonts w:cs="Arial"/>
    </w:rPr>
  </w:style>
  <w:style w:type="paragraph" w:styleId="NormalWeb">
    <w:name w:val="Normal (Web)"/>
    <w:basedOn w:val="normal1"/>
    <w:uiPriority w:val="99"/>
    <w:semiHidden w:val="1"/>
    <w:unhideWhenUsed w:val="1"/>
    <w:qFormat w:val="1"/>
    <w:rsid w:val="001B54A0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11">
    <w:name w:val="normal11"/>
    <w:qFormat w:val="1"/>
    <w:pPr>
      <w:widowControl w:val="0"/>
      <w:suppressAutoHyphens w:val="1"/>
      <w:bidi w:val="0"/>
      <w:spacing w:after="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">
    <w:name w:val="normal1111"/>
    <w:qFormat w:val="1"/>
    <w:pPr>
      <w:widowControl w:val="0"/>
      <w:suppressAutoHyphens w:val="1"/>
      <w:bidi w:val="0"/>
      <w:spacing w:after="0" w:before="0" w:line="276" w:lineRule="auto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No9zRzQdqKSijQn/kDjFLnChQ==">CgMxLjAyDmgucTV1Z3k5cTVjaWJxMg5oLmh5Mm84cGUxaHJjMTgAciExRkkzQms0N0FsOEpmMkdXZmRUdGpOaWFObHRJaDB4ZDQ=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2025-12-23T17:12:00Z</dcterms:created>
  <dc:creator>Adm</dc:creator>
</cp:coreProperties>
</file>