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RESOLUÇÃO N° 572, DE 17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 dispositivos à Resolução nº 497, de 19 de novembro de 2025, que “Aprova o Regimento Interno da Câmara Municipal de Timóteo e dá outras providências”.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TIMÓTEO aprova: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art. 73 da Resolução nº 497, de 19 de novembro de 2025, que “Aprova o Regimento Interno da Câmara Municipal de Timóteo e dá outras providências”, passa a conter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“Art. 73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Comissões permanentes e temporárias não funcionarão durante o recesso parlamentar, exceto a Comissão Parlamentar de Inquérito, cuja atuação poderá ser prorrogada nesse período, bem como a Comissão de Finanças e Orçamento, caso esteja em tramitação o  procedimento de prestação e tomada de contas sem deliberação definitiva.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O procedimento de prestação e tomada de contas, na hipótese prevista 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terá a sua tramitação regular durante o recesso parlamentar, também no que concerne à propositura de Projetos de Decretos Legislativos que aprovem e / ou rejeitem as contas, com contagem dos prazos para emendas para todos os Vereadores relativamente aos mencionados Projetos de Decretos Legislativos.”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2°.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na data da sua publicação.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Timóteo, 17 de dezembro de 2025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Marcus Fernandes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Lair Bueno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Vice 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Gualberto  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  <w:cols w:equalWidth="0" w:num="2">
            <w:col w:space="282" w:w="4394.499999999999"/>
            <w:col w:space="0" w:w="4394.4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Secretário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Nobres colegas,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o intuito de se observar os prazos estabelecidos pelo Tribunal de Contas do Estado de Minas Gerais para os julgamentos de contas anuais de ex-prefeitos, e objetivando a manutenção das atividades correlatas do Poder Legislativo durante o período, com a viabilização dos atos dos parlamentares, munícipes e servidores, propomos a anexa alteração do Regimento Interno regulamentando a possibilidade de continuidade das atividades, inclusive as da Comissão de Finanças e Orçamento, quando necessária em razão de tramitação de prestação e tomada de contas.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Desse modo, contamos com o apoio dos nobres colegas para a aprovação da proposição.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Timóteo, 17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Lair Bueno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Vice 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PARECER JURÍDICO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De: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Procuradoria-Geral da Câmara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Para: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Mesa Diretora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Matéria: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Projeto de Resolução nº 572, de 17 de dezembro de 2025, que “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Acrescenta dispositivos à Resolução nº 497, de 19 de novembro de 2025, que “Aprova o Regimento Interno da Câmara Municipal de Timóteo e dá outras providências</w:t>
      </w:r>
      <w:r w:rsidDel="00000000" w:rsidR="00000000" w:rsidRPr="00000000">
        <w:rPr>
          <w:rFonts w:ascii="Arial" w:cs="Arial" w:eastAsia="Arial" w:hAnsi="Arial"/>
          <w:rtl w:val="0"/>
        </w:rPr>
        <w:t xml:space="preserve">”.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Data: 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19/12/2025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 – RELATÓRIO</w:t>
      </w:r>
    </w:p>
    <w:p w:rsidR="00000000" w:rsidDel="00000000" w:rsidP="00000000" w:rsidRDefault="00000000" w:rsidRPr="00000000" w14:paraId="00000046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Trata-se do Projeto de Resolução nº 572, de 17 de dezembro de 2025, que “Acrescenta dispositivos à Resolução nº 497, de 19 de novembro de 2025, que “Aprova o Regimento Interno da Câmara Municipal de Timóteo e dá outras providências”.</w:t>
      </w:r>
    </w:p>
    <w:p w:rsidR="00000000" w:rsidDel="00000000" w:rsidP="00000000" w:rsidRDefault="00000000" w:rsidRPr="00000000" w14:paraId="00000047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iberation Serif" w:cs="Liberation Serif" w:eastAsia="Liberation Serif" w:hAnsi="Liberation Serif"/>
          <w:sz w:val="22"/>
          <w:szCs w:val="22"/>
          <w:rtl w:val="0"/>
        </w:rPr>
        <w:t xml:space="preserve">Busca a Mesa Diretora a possibilidade de funcionamento do procedimento de tomada e prestação de contas mesmo em período de recesso legislativo, quando ocorrer, como no presente momento, a fluência do prazo assinalado em legislação estadual para apreciação legislativa e devolução para o TCE-MG.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II – FUNDAMENTAÇÃO</w:t>
      </w:r>
    </w:p>
    <w:p w:rsidR="00000000" w:rsidDel="00000000" w:rsidP="00000000" w:rsidRDefault="00000000" w:rsidRPr="00000000" w14:paraId="0000004A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Cuida-se de matéria político-administrativa a proposição que cuida de organizar e regulamentar os serviços administrativos, conforme art. 184 do Regimento Interno desta Casa. </w:t>
      </w:r>
    </w:p>
    <w:p w:rsidR="00000000" w:rsidDel="00000000" w:rsidP="00000000" w:rsidRDefault="00000000" w:rsidRPr="00000000" w14:paraId="0000004B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Tratando-se de matéria interna corporis, não há óbice legal na tramitação da matéria, nem prejuízo em sua aprovação.</w:t>
      </w:r>
    </w:p>
    <w:p w:rsidR="00000000" w:rsidDel="00000000" w:rsidP="00000000" w:rsidRDefault="00000000" w:rsidRPr="00000000" w14:paraId="0000004C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Haja vista que o prazo para tomada e prestação de contas e posterior devolução da deliberação legislativa para o TCE-MG não suspende com o recesso legislativo, a alteração pretendida é medida de otimização dos serviços e segurança jurídica.</w:t>
      </w:r>
    </w:p>
    <w:p w:rsidR="00000000" w:rsidDel="00000000" w:rsidP="00000000" w:rsidRDefault="00000000" w:rsidRPr="00000000" w14:paraId="0000004D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III – CONCLUSÃO</w:t>
      </w:r>
    </w:p>
    <w:p w:rsidR="00000000" w:rsidDel="00000000" w:rsidP="00000000" w:rsidRDefault="00000000" w:rsidRPr="00000000" w14:paraId="0000004F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 o exposto, esta Procuradoria opina pela regular tramitação da matéria, nos moldes regimentais.</w:t>
      </w:r>
    </w:p>
    <w:p w:rsidR="00000000" w:rsidDel="00000000" w:rsidP="00000000" w:rsidRDefault="00000000" w:rsidRPr="00000000" w14:paraId="00000050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 o parecer, salvo melhor juízo.</w:t>
      </w:r>
    </w:p>
    <w:p w:rsidR="00000000" w:rsidDel="00000000" w:rsidP="00000000" w:rsidRDefault="00000000" w:rsidRPr="00000000" w14:paraId="00000051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Heyder Torre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</w:t>
      </w:r>
    </w:p>
    <w:p w:rsidR="00000000" w:rsidDel="00000000" w:rsidP="00000000" w:rsidRDefault="00000000" w:rsidRPr="00000000" w14:paraId="00000054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acordo com o PARECER.</w:t>
      </w:r>
    </w:p>
    <w:p w:rsidR="00000000" w:rsidDel="00000000" w:rsidP="00000000" w:rsidRDefault="00000000" w:rsidRPr="00000000" w14:paraId="00000056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Marcelo Vianello</w:t>
      </w:r>
    </w:p>
    <w:p w:rsidR="00000000" w:rsidDel="00000000" w:rsidP="00000000" w:rsidRDefault="00000000" w:rsidRPr="00000000" w14:paraId="00000059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REDAÇÃO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DO PROJETO DE RESOLUÇÃO N° 572, DE 24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 dispositivos à Resolução nº 497, de 19 de novembro de 2025, que “Aprova o Regimento Interno da Câmara Municipal de Timóteo e dá outras providências”.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TIMÓTEO aprova: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art. 73 da Resolução nº 497, de 19 de novembro de 2025, que “Aprova o Regimento Interno da Câmara Municipal de Timóteo e dá outras providências”, passa a conter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“Art. 73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Comissões permanentes e temporárias não funcionarão durante o recesso parlamentar, exceto a Comissão Parlamentar de Inquérito, cuja atuação poderá ser prorrogada nesse período, bem como a Comissão de Finanças e Orçamento, caso esteja em tramitação o  procedimento de prestação e tomada de contas sem deliberação definitiva.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O procedimento de prestação e tomada de contas, na hipótese prevista 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terá a sua tramitação regular durante o recesso parlamentar, também no que concerne à propositura de Projetos de Decretos Legislativos que aprovem e / ou rejeitem as contas, com contagem dos prazos para emendas para todos os Vereadores relativamente aos mencionados Projetos de Decretos Legislativos.”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2°.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na data da sua publicação.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24 de dezembro de 2025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CONSTITUIÇÃO E JUSTIÇA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 Diogo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</w:t>
      </w:r>
    </w:p>
    <w:sectPr>
      <w:type w:val="nextPage"/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uxi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ind w:left="0" w:firstLine="0"/>
      <w:jc w:val="both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ind w:left="0" w:firstLine="0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Marcadores">
    <w:name w:val="Marcadores"/>
    <w:qFormat w:val="1"/>
    <w:rPr>
      <w:rFonts w:ascii="StarSymbol" w:cs="StarSymbol" w:eastAsia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Marcas">
    <w:name w:val="Marcas"/>
    <w:qFormat w:val="1"/>
    <w:rPr>
      <w:rFonts w:ascii="StarSymbol" w:cs="StarSymbol" w:eastAsia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2">
    <w:name w:val="WW-Absatz-Standardschriftart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4LVL1">
    <w:name w:val="WW_CharLFO4LVL1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2">
    <w:name w:val="WW_CharLFO4LVL2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3">
    <w:name w:val="WW_CharLFO4LVL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4">
    <w:name w:val="WW_CharLFO4LVL4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5">
    <w:name w:val="WW_CharLFO4LVL5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6">
    <w:name w:val="WW_CharLFO4LVL6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7">
    <w:name w:val="WW_CharLFO4LVL7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8">
    <w:name w:val="WW_CharLFO4LVL8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9">
    <w:name w:val="WW_CharLFO4LVL9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bidi w:val="0"/>
      <w:spacing w:after="120" w:before="0" w:line="1" w:lineRule="atLeast"/>
      <w:textAlignment w:val="baseline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">
    <w:name w:val="caption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1">
    <w:name w:val="caption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">
    <w:name w:val="caption1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">
    <w:name w:val="caption11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">
    <w:name w:val="caption111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DejaVu Sans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1">
    <w:name w:val="Título1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LO-Normal">
    <w:name w:val="LO-Normal"/>
    <w:qFormat w:val="1"/>
    <w:pPr>
      <w:widowControl w:val="0"/>
      <w:suppressAutoHyphens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ohit Hindi" w:eastAsia="WenQuanYi Micro Hei" w:hAnsi="Liberation Serif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ulo">
    <w:name w:val="Capítulo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WW-Ttulo">
    <w:name w:val="WW-Título"/>
    <w:basedOn w:val="Normal1"/>
    <w:next w:val="Subtitle"/>
    <w:qFormat w:val="1"/>
    <w:pPr>
      <w:widowControl w:val="0"/>
      <w:suppressAutoHyphens w:val="0"/>
      <w:bidi w:val="0"/>
      <w:spacing w:line="1" w:lineRule="atLeast"/>
      <w:ind w:left="1134" w:right="0" w:hanging="0"/>
      <w:jc w:val="center"/>
      <w:textAlignment w:val="baseline"/>
      <w:outlineLvl w:val="0"/>
    </w:pPr>
    <w:rPr>
      <w:rFonts w:ascii="Arial" w:cs="Arial" w:eastAsia="DejaVu Sans" w:hAnsi="Arial"/>
      <w:b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WW-TtuloPrincipal">
    <w:name w:val="WW-Título Principal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Luxi Sans" w:cs="Luxi Sans" w:eastAsia="HG Mincho Light J" w:hAnsi="Luxi Sans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Indent">
    <w:name w:val="Body Text Indent"/>
    <w:basedOn w:val="Normal1"/>
    <w:qFormat w:val="1"/>
    <w:pPr>
      <w:widowControl w:val="0"/>
      <w:suppressAutoHyphens w:val="0"/>
      <w:bidi w:val="0"/>
      <w:spacing w:line="1" w:lineRule="atLeast"/>
      <w:ind w:left="5670" w:right="0" w:hanging="0"/>
      <w:jc w:val="both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WW-Recuodecorpodetexto2">
    <w:name w:val="WW-Recuo de corpo de texto 2"/>
    <w:basedOn w:val="Normal1"/>
    <w:qFormat w:val="1"/>
    <w:pPr>
      <w:widowControl w:val="0"/>
      <w:suppressAutoHyphens w:val="0"/>
      <w:bidi w:val="0"/>
      <w:spacing w:line="1" w:lineRule="atLeast"/>
      <w:ind w:left="1134" w:right="0" w:firstLine="2268"/>
      <w:jc w:val="both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atabela">
    <w:name w:val="Título da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baseline"/>
    </w:pPr>
    <w:rPr>
      <w:rFonts w:ascii="Times New Roman" w:cs="DejaVu Sans" w:eastAsia="DejaVu Sans" w:hAnsi="Times New Roman"/>
      <w:b w:val="1"/>
      <w:bCs w:val="1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baseline"/>
    </w:pPr>
    <w:rPr>
      <w:rFonts w:ascii="Times New Roman" w:cs="DejaVu Sans" w:eastAsia="DejaVu Sans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">
    <w:name w:val="Cabeçalho e Rodapé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1">
    <w:name w:val="Cabeçalho e rodapé1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2">
    <w:name w:val="Cabeçalho e rodapé2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3">
    <w:name w:val="Cabeçalho e rodapé3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4">
    <w:name w:val="Cabeçalho e rodapé4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5">
    <w:name w:val="Cabeçalho e rodapé5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6">
    <w:name w:val="Cabeçalho e rodapé6"/>
    <w:basedOn w:val="Normal"/>
    <w:qFormat w:val="1"/>
    <w:pPr/>
    <w:rPr/>
  </w:style>
  <w:style w:type="paragraph" w:styleId="Header">
    <w:name w:val="Header"/>
    <w:basedOn w:val="Normal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Footer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etabela">
    <w:name w:val="Conteúdo de tabe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="240" w:lineRule="auto"/>
      <w:jc w:val="center"/>
    </w:pPr>
    <w:rPr>
      <w:rFonts w:ascii="Luxi Sans" w:cs="Luxi Sans" w:eastAsia="Luxi Sans" w:hAnsi="Luxi Sans"/>
      <w:i w:val="1"/>
      <w:iCs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OMTbmYoG9MwdA0uMD7L/Hm71A==">CgMxLjA4AHIhMWFQRVZ6QkxGUGRlWWhXNVNUV1AtRHBiZlJWVEJaWXg1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1995-11-21T20:41:00Z</dcterms:created>
  <dc:creator>Rodrigo Dias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