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RESOLUÇÃO N° 573, DE 19 DE DEZEMBRO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Acrescenta dispositivos na Resolução nº 497, de 19 de novembro de 2025, que “Aprova o Regimento Interno da Câmara Municipal de Timóteo e dá outras providências.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64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CÂMARA MUNICIPAL DE TIMÓTEO aprova: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64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64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64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TÍTULO III - DAS REUNIÕES PLENÁRIAS - CAPÍTULO I - DAS REUNIÕES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Resolução nº 497, de 19 de novembro de 2025, que “Aprova o Regimento Interno da Câmara Municipal de Timóteo e dá outras providências” passa a vigorar acrescido da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IV -  DAS REUNIÕES REMOTAS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a seguinte redação: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III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DAS REUNIÕES PLENÁRIAS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REUNIÕES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III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REUNIÕES REMOTAS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“Art. 297-A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Fica instituída, na Câmara municipal de Timóteo, a reunião remota plenária e de comissões.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Entende-se por “reunião remota” aquela que, para a manutenção do trâmite dos processos legislativos, realiza-se em ambiente virtual, resguardando a publicidade dos atos com transmissão ao vivo nos veículos de comunicação do Legislativo municipal.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297-B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Presidente da Câmara municipal estabelecerá, por Portaria, o período em que as reuniões serão remotas.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297-C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Presidente da Câmara, o Secretário Administrativo e o Procurador-Geral poderão convocar servidores essenciais para os atos necessários para a realização da reunião remota.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297-D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regime de reunião remota, a Administração da Câmara auxiliará os servidores e parlamentares na utilização da plataforma digital escolhida, sendo, preferencialmente, a disponibilizada gratuitamente pelo sistema “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Jitsi Meet”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oferecido pelo Interlegis do Senado Federal.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297-E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vereadores e servidores, para participarem da reunião remota, deverão proceder com a instalação do software, aplicativo ou equivalente, conforme orientação e auxílio do departamento de informática da Câmara Municipal, sob pena de ser considerado ausente.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297- 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Caberá ao Vereador: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providenciar equipamento compatível para conexão à Rede Mundial de Computadores (Internet), com banda larga que permita qualidade de transmissão e recepção de áudio e vídeo;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utilizar equipamento que possua dispositivo de câmera frontal habilitada e com acessibilidade remota;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fornecer número de contato telefônico e/ou endereço eletrônico da rede social para recebimento de mensagens, nos casos de pane do sistema de videoconferência;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– manter-se conectado ao dispositivo e ao sistema sem entregar a outrem, evitando interrupções, enquanto durar a sessão pela modalidade remota;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– evitar exposição pública de pessoas que não sejam parlamentares; 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 – portar-se adequadamente com vestuário condigno durante a realização da sessão.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297-G.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exceção das reuniões extraordinárias, as reuniões remotas acontecerão nas datas e horas estabelecidas no art. 265 do Regimento Interno.”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2°.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Resolução entra em vigor na data de sua publicação.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Timóteo, 19 de dezembro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Adriano Alvarenga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Marcus Fernandes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Lair Bueno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Vice 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Pastora Sônia Andrade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1ª Secretária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Fred Gualberto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Secretário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Nobres colegas,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intuito de preservar as atividades do Poder Legislativo e, de forma concomitante, facilitar o desempenho das atividades dos parlamentares, munícipes e servidores, propomos a implantação da reunião remota, nos períodos em que se fizer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Desse modo, contamos com o apoio dos nobres colegas para a aprovação da proposição.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Timóteo, 19 de dezembro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Adriano Alvarenga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Marcus Fernandes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Lair Bueno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Vice 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Pastora Sônia Andrade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1ª Secretária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Fred Gualber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Secretário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PARECER JURÍDICO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De</w:t>
        <w:tab/>
        <w:tab/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Procuradoria-Geral da Câmara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Para</w:t>
        <w:tab/>
      </w: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Mesa Diretora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Matéria</w:t>
        <w:tab/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Projeto de Resolução n°. 573, de 19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de dezembro de 2025 que 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Acrescenta dispositivos na Resolução nº 497, de 19 de novembro de 2025, que “Aprova o Regimento Interno da Câmara Municipal de Timóteo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Data</w:t>
        <w:tab/>
        <w:tab/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22/12/25</w:t>
      </w:r>
    </w:p>
    <w:p w:rsidR="00000000" w:rsidDel="00000000" w:rsidP="00000000" w:rsidRDefault="00000000" w:rsidRPr="00000000" w14:paraId="000000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I - 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Trata-se do Projeto de Resolução n°. 573, de 19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de dezembro de 2025 que 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Acrescenta dispositivos na Resolução nº 497, de 19 de novembro de 2025, que “Aprova o Regimento Interno da Câmara Municipal de Timóteo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Pretende a Mesa Diretora instituir reunião remota, para facilitar o desempenho das atividades dos parlamentares, munícipes e servidores e preservar as atividades do Poder Legislativo, nos períodos em que se fizer necessário.</w:t>
      </w:r>
    </w:p>
    <w:p w:rsidR="00000000" w:rsidDel="00000000" w:rsidP="00000000" w:rsidRDefault="00000000" w:rsidRPr="00000000" w14:paraId="000000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É o relatório.</w:t>
      </w:r>
    </w:p>
    <w:p w:rsidR="00000000" w:rsidDel="00000000" w:rsidP="00000000" w:rsidRDefault="00000000" w:rsidRPr="00000000" w14:paraId="000000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II - FUNDAMENTAÇÃO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Cuida-se de matéria político-administrativa a proposição que cuida de organizar e regulamentar os serviços administrativos, conforme art. 184 do Regimento Interno desta Casa.</w:t>
      </w:r>
    </w:p>
    <w:p w:rsidR="00000000" w:rsidDel="00000000" w:rsidP="00000000" w:rsidRDefault="00000000" w:rsidRPr="00000000" w14:paraId="000000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Tratando-se de matéria interna corporis, não há óbice legal na tramitação da matéria, nem prejuízo em sua aprovação.</w:t>
      </w:r>
    </w:p>
    <w:p w:rsidR="00000000" w:rsidDel="00000000" w:rsidP="00000000" w:rsidRDefault="00000000" w:rsidRPr="00000000" w14:paraId="000000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III - 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Ante o exposto, esta Procuradoria opina pela regular tramitação da matéria, nos moldes regimentais.</w:t>
      </w:r>
    </w:p>
    <w:p w:rsidR="00000000" w:rsidDel="00000000" w:rsidP="00000000" w:rsidRDefault="00000000" w:rsidRPr="00000000" w14:paraId="000000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É o parecer, salvo melhor juízo.</w:t>
      </w:r>
    </w:p>
    <w:p w:rsidR="00000000" w:rsidDel="00000000" w:rsidP="00000000" w:rsidRDefault="00000000" w:rsidRPr="00000000" w14:paraId="000000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Leidiane Viana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Advogada</w:t>
      </w:r>
    </w:p>
    <w:p w:rsidR="00000000" w:rsidDel="00000000" w:rsidP="00000000" w:rsidRDefault="00000000" w:rsidRPr="00000000" w14:paraId="0000009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 acordo com o PARECER.</w:t>
      </w:r>
    </w:p>
    <w:p w:rsidR="00000000" w:rsidDel="00000000" w:rsidP="00000000" w:rsidRDefault="00000000" w:rsidRPr="00000000" w14:paraId="0000009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Marcelo Vianello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sz w:val="26"/>
          <w:szCs w:val="26"/>
          <w:rtl w:val="0"/>
        </w:rPr>
        <w:t xml:space="preserve">Procurador-Geral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REDAÇÃO FINAL DO PROJETO DE RESOLUÇÃO N° 573, DE 24 DE DEZEMBRO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Acrescenta dispositivos na Resolução nº 497, de 19 de novembro de 2025, que “Aprova o Regimento Interno da Câmara Municipal de Timóteo e dá outras providências.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64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CÂMARA MUNICIPAL DE TIMÓTEO aprova: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64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64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64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TÍTULO III - DAS REUNIÕES PLENÁRIAS - CAPÍTULO I - DAS REUNIÕES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Resolução nº 497, de 19 de novembro de 2025, que “Aprova o Regimento Interno da Câmara Municipal de Timóteo e dá outras providências” passa a vigorar acrescido da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IV -  DAS REUNIÕES REMOTAS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a seguinte redação: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III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DAS REUNIÕES PLENÁRIAS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REUNIÕES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III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REUNIÕES REMOTAS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“Art. 297-A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Fica instituída, na Câmara municipal de Timóteo, a reunião remota plenária e de comissões.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Entende-se por “reunião remota” aquela que, para a manutenção do trâmite dos processos legislativos, realiza-se em ambiente virtual, resguardando a publicidade dos atos com transmissão ao vivo nos veículos de comunicação do Legislativo municipal.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297-B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Presidente da Câmara municipal estabelecerá, por Portaria, o período em que as reuniões serão remotas.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297-C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Presidente da Câmara, o Secretário Administrativo e o Procurador-Geral poderão convocar servidores essenciais para os atos necessários para a realização da reunião remota.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297-D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regime de reunião remota, a Administração da Câmara auxiliará os servidores e parlamentares na utilização da plataforma digital escolhida, sendo, preferencialmente, a disponibilizada gratuitamente pelo sistema “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Jitsi Meet”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oferecido pelo Interlegis do Senado Federal.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297-E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vereadores e servidores, para participarem da reunião remota, deverão proceder com a instalação do software, aplicativo ou equivalente, conforme orientação e auxílio do departamento de informática da Câmara Municipal, sob pena de ser considerado ausente.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297- 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Caberá ao Vereador: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providenciar equipamento compatível para conexão à Rede Mundial de Computadores (Internet), com banda larga que permita qualidade de transmissão e recepção de áudio e vídeo;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utilizar equipamento que possua dispositivo de câmera frontal habilitada e com acessibilidade remota;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fornecer número de contato telefônico e/ou endereço eletrônico da rede social para recebimento de mensagens, nos casos de pane do sistema de videoconferência;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– manter-se conectado ao dispositivo e ao sistema sem entregar a outrem, evitando interrupções, enquanto durar a sessão pela modalidade remota;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– evitar exposição pública de pessoas que não sejam parlamentares; e,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 – portar-se adequadamente com vestuário condigno durante a realização da sessão.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297-G.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exceção das reuniões extraordinárias, as reuniões remotas acontecerão nas datas e horas estabelecidas no art. 265 do Regimento Interno.”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2°.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Resolução entra em vigor na data de sua publicação.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Comissões, 24 de dezembro de 2025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COMISSÃO DE CONSTITUIÇÃO E JUSTIÇA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Professor Diogo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Relator</w:t>
      </w:r>
    </w:p>
    <w:sectPr>
      <w:pgSz w:h="16838" w:w="11906" w:orient="portrait"/>
      <w:pgMar w:bottom="1134" w:top="2268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uxi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ind w:left="0" w:firstLine="0"/>
      <w:jc w:val="both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0"/>
      <w:ind w:left="0" w:firstLine="0"/>
      <w:jc w:val="center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character" w:styleId="Fontepargpadro">
    <w:name w:val="Fonte parág. padr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Marcadores">
    <w:name w:val="Marcadores"/>
    <w:qFormat w:val="1"/>
    <w:rPr>
      <w:rFonts w:ascii="StarSymbol" w:cs="StarSymbol" w:eastAsia="StarSymbol" w:hAnsi="Star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Marcas">
    <w:name w:val="Marcas"/>
    <w:qFormat w:val="1"/>
    <w:rPr>
      <w:rFonts w:ascii="StarSymbol" w:cs="StarSymbol" w:eastAsia="StarSymbol" w:hAnsi="Star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-Absatz-Standardschriftart12">
    <w:name w:val="WW-Absatz-Standardschriftart1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Strong">
    <w:name w:val="Strong"/>
    <w:qFormat w:val="1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Smbolosdenumerao">
    <w:name w:val="Símbolos de numeraç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4LVL1">
    <w:name w:val="WW_CharLFO4LVL1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CharLFO4LVL2">
    <w:name w:val="WW_CharLFO4LVL2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CharLFO4LVL3">
    <w:name w:val="WW_CharLFO4LVL3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CharLFO4LVL4">
    <w:name w:val="WW_CharLFO4LVL4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CharLFO4LVL5">
    <w:name w:val="WW_CharLFO4LVL5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CharLFO4LVL6">
    <w:name w:val="WW_CharLFO4LVL6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CharLFO4LVL7">
    <w:name w:val="WW_CharLFO4LVL7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CharLFO4LVL8">
    <w:name w:val="WW_CharLFO4LVL8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CharLFO4LVL9">
    <w:name w:val="WW_CharLFO4LVL9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paragraph" w:styleId="Ttulo">
    <w:name w:val="Título"/>
    <w:basedOn w:val="Normal1"/>
    <w:next w:val="BodyText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baseline"/>
      <w:outlineLvl w:val="0"/>
    </w:pPr>
    <w:rPr>
      <w:rFonts w:ascii="Liberation Sans" w:cs="Lohit Devanagari" w:eastAsia="Noto Sans CJK SC" w:hAnsi="Liberation Sans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BodyText">
    <w:name w:val="Body Text"/>
    <w:basedOn w:val="Normal1"/>
    <w:qFormat w:val="1"/>
    <w:pPr>
      <w:widowControl w:val="0"/>
      <w:suppressAutoHyphens w:val="0"/>
      <w:bidi w:val="0"/>
      <w:spacing w:after="120" w:before="0"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sz w:val="24"/>
      <w:szCs w:val="24"/>
      <w:effect w:val="none"/>
      <w:vertAlign w:val="subscript"/>
      <w:em w:val="none"/>
      <w:lang w:bidi="hi-IN" w:eastAsia="zh-CN" w:val="pt-BR"/>
    </w:rPr>
  </w:style>
  <w:style w:type="paragraph" w:styleId="List">
    <w:name w:val="List"/>
    <w:basedOn w:val="BodyText"/>
    <w:qFormat w:val="1"/>
    <w:pPr>
      <w:widowControl w:val="0"/>
      <w:suppressAutoHyphens w:val="0"/>
      <w:bidi w:val="0"/>
      <w:spacing w:after="120" w:before="0" w:line="1" w:lineRule="atLeast"/>
      <w:textAlignment w:val="baseline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">
    <w:name w:val="Caption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baseline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dice">
    <w:name w:val="Índice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1" w:default="1">
    <w:name w:val="normal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Caption1">
    <w:name w:val="caption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baseline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">
    <w:name w:val="Caption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baseline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">
    <w:name w:val="caption1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baseline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">
    <w:name w:val="Caption11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baseline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">
    <w:name w:val="caption111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baseline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">
    <w:name w:val="caption1111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baseline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">
    <w:name w:val="caption11111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baseline"/>
      <w:outlineLvl w:val="0"/>
    </w:pPr>
    <w:rPr>
      <w:rFonts w:ascii="Times New Roman" w:cs="DejaVu Sans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tulo1">
    <w:name w:val="Título1"/>
    <w:basedOn w:val="Normal1"/>
    <w:next w:val="BodyText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baseline"/>
      <w:outlineLvl w:val="0"/>
    </w:pPr>
    <w:rPr>
      <w:rFonts w:ascii="Arial" w:cs="Arial" w:eastAsia="DejaVu Sans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LO-Normal">
    <w:name w:val="LO-Normal"/>
    <w:qFormat w:val="1"/>
    <w:pPr>
      <w:widowControl w:val="0"/>
      <w:suppressAutoHyphens w:val="0"/>
      <w:bidi w:val="0"/>
      <w:spacing w:after="0" w:before="0" w:line="1" w:lineRule="atLeast"/>
      <w:jc w:val="left"/>
      <w:textAlignment w:val="baseline"/>
      <w:outlineLvl w:val="0"/>
    </w:pPr>
    <w:rPr>
      <w:rFonts w:ascii="Liberation Serif" w:cs="Lohit Hindi" w:eastAsia="WenQuanYi Micro Hei" w:hAnsi="Liberation Serif"/>
      <w:color w:val="auto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ulo">
    <w:name w:val="Capítulo"/>
    <w:basedOn w:val="Normal1"/>
    <w:next w:val="BodyText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baseline"/>
      <w:outlineLvl w:val="0"/>
    </w:pPr>
    <w:rPr>
      <w:rFonts w:ascii="Arial" w:cs="Arial" w:eastAsia="DejaVu Sans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WW-Ttulo">
    <w:name w:val="WW-Título"/>
    <w:basedOn w:val="Normal1"/>
    <w:next w:val="Subtitle"/>
    <w:qFormat w:val="1"/>
    <w:pPr>
      <w:widowControl w:val="0"/>
      <w:suppressAutoHyphens w:val="0"/>
      <w:bidi w:val="0"/>
      <w:spacing w:line="1" w:lineRule="atLeast"/>
      <w:ind w:left="1134" w:right="0" w:hanging="0"/>
      <w:jc w:val="center"/>
      <w:textAlignment w:val="baseline"/>
      <w:outlineLvl w:val="0"/>
    </w:pPr>
    <w:rPr>
      <w:rFonts w:ascii="Arial" w:cs="Arial" w:eastAsia="DejaVu Sans" w:hAnsi="Arial"/>
      <w:b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WW-TtuloPrincipal">
    <w:name w:val="WW-Título Principal"/>
    <w:basedOn w:val="Normal1"/>
    <w:next w:val="BodyText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baseline"/>
      <w:outlineLvl w:val="0"/>
    </w:pPr>
    <w:rPr>
      <w:rFonts w:ascii="Luxi Sans" w:cs="Luxi Sans" w:eastAsia="HG Mincho Light J" w:hAnsi="Luxi Sans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BodyTextIndent">
    <w:name w:val="Body Text Indent"/>
    <w:basedOn w:val="Normal1"/>
    <w:qFormat w:val="1"/>
    <w:pPr>
      <w:widowControl w:val="0"/>
      <w:suppressAutoHyphens w:val="0"/>
      <w:bidi w:val="0"/>
      <w:spacing w:line="1" w:lineRule="atLeast"/>
      <w:ind w:left="5670" w:right="0" w:hanging="0"/>
      <w:jc w:val="both"/>
      <w:textAlignment w:val="baseline"/>
      <w:outlineLvl w:val="0"/>
    </w:pPr>
    <w:rPr>
      <w:rFonts w:ascii="Arial" w:cs="Arial" w:eastAsia="DejaVu Sans" w:hAnsi="Arial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WW-Recuodecorpodetexto2">
    <w:name w:val="WW-Recuo de corpo de texto 2"/>
    <w:basedOn w:val="Normal1"/>
    <w:qFormat w:val="1"/>
    <w:pPr>
      <w:widowControl w:val="0"/>
      <w:suppressAutoHyphens w:val="0"/>
      <w:bidi w:val="0"/>
      <w:spacing w:line="1" w:lineRule="atLeast"/>
      <w:ind w:left="1134" w:right="0" w:firstLine="2268"/>
      <w:jc w:val="both"/>
      <w:textAlignment w:val="baseline"/>
      <w:outlineLvl w:val="0"/>
    </w:pPr>
    <w:rPr>
      <w:rFonts w:ascii="Arial" w:cs="Arial" w:eastAsia="DejaVu Sans" w:hAnsi="Arial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ontedodatabela">
    <w:name w:val="Conteúdo da tabela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tulodatabela">
    <w:name w:val="Título da tabela"/>
    <w:basedOn w:val="Contedodatabela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baseline"/>
    </w:pPr>
    <w:rPr>
      <w:rFonts w:ascii="Times New Roman" w:cs="DejaVu Sans" w:eastAsia="DejaVu Sans" w:hAnsi="Times New Roman"/>
      <w:b w:val="1"/>
      <w:bCs w:val="1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tulodetabela">
    <w:name w:val="Título de tabela"/>
    <w:basedOn w:val="Contedodatabela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baseline"/>
    </w:pPr>
    <w:rPr>
      <w:rFonts w:ascii="Times New Roman" w:cs="DejaVu Sans" w:eastAsia="DejaVu Sans" w:hAnsi="Times New Roman"/>
      <w:b w:val="1"/>
      <w:b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bealhoeRodap">
    <w:name w:val="Cabeçalho e Rodapé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bealhoerodap1">
    <w:name w:val="Cabeçalho e rodapé1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bealhoerodap2">
    <w:name w:val="Cabeçalho e rodapé2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bealhoerodap3">
    <w:name w:val="Cabeçalho e rodapé3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bealhoerodap4">
    <w:name w:val="Cabeçalho e rodapé4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bealhoerodap5">
    <w:name w:val="Cabeçalho e rodapé5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Header">
    <w:name w:val="Header"/>
    <w:basedOn w:val="Normal1"/>
    <w:qFormat w:val="1"/>
    <w:pPr>
      <w:widowControl w:val="0"/>
      <w:suppressLineNumbers w:val="1"/>
      <w:tabs>
        <w:tab w:val="clear" w:pos="720"/>
        <w:tab w:val="center" w:leader="none" w:pos="4535"/>
        <w:tab w:val="right" w:leader="none" w:pos="9071"/>
      </w:tabs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Footer">
    <w:name w:val="Footer"/>
    <w:basedOn w:val="Normal1"/>
    <w:qFormat w:val="1"/>
    <w:pPr>
      <w:widowControl w:val="0"/>
      <w:suppressLineNumbers w:val="1"/>
      <w:tabs>
        <w:tab w:val="clear" w:pos="720"/>
        <w:tab w:val="center" w:leader="none" w:pos="4535"/>
        <w:tab w:val="right" w:leader="none" w:pos="9071"/>
      </w:tabs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ontedodetabela">
    <w:name w:val="Conteúdo de tabela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baseline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widowControl w:val="0"/>
      <w:spacing w:after="120" w:before="240" w:line="240" w:lineRule="auto"/>
      <w:jc w:val="center"/>
    </w:pPr>
    <w:rPr>
      <w:rFonts w:ascii="Luxi Sans" w:cs="Luxi Sans" w:eastAsia="Luxi Sans" w:hAnsi="Luxi Sans"/>
      <w:i w:val="1"/>
      <w:iCs w:val="1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TqbGBMx8A5G+8QeP3emGkiYbSg==">CgMxLjA4AHIhMVRvNDJ2anhVNUllQ0ZIOFlTWE8yd3N6SWpRT05vYUl1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1995-11-21T20:41:00Z</dcterms:created>
  <dc:creator>Rodrigo Dias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