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SUBSTITUTIVO Nº 01, DE 07 DE AGOSTO DE 2025, AO PROJETO DE LEI Nº 4.662, DE 08 DE MAIO DE 2025</w:t>
      </w:r>
    </w:p>
    <w:p>
      <w:pPr>
        <w:pStyle w:val="Normal"/>
        <w:bidi w:val="0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4535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Veda a  realização de eventos festivos com recursos públicos no âmbito do Município de Timóteo durante a vigência de estado calamidade pública.</w:t>
      </w:r>
    </w:p>
    <w:p>
      <w:pPr>
        <w:pStyle w:val="Normal"/>
        <w:bidi w:val="0"/>
        <w:spacing w:lineRule="auto" w:line="276"/>
        <w:ind w:left="4535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4535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 CÂMARA MUNICIPAL DE TIMÓTEO aprova: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1º</w:t>
      </w:r>
      <w:r>
        <w:rPr>
          <w:rFonts w:ascii="Arial" w:hAnsi="Arial"/>
          <w:color w:val="auto"/>
          <w:sz w:val="24"/>
          <w:szCs w:val="24"/>
        </w:rPr>
        <w:t xml:space="preserve"> Fica vedada a realização, o patrocínio ou o custeio, total ou parcial, com recursos públicos municipais, de eventos festivos no âmbito do Município de Timóteo enquanto perdurar o estado  de calamidade pública declarado oficialmente.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2º</w:t>
      </w:r>
      <w:r>
        <w:rPr>
          <w:rFonts w:ascii="Arial" w:hAnsi="Arial"/>
          <w:color w:val="auto"/>
          <w:sz w:val="24"/>
          <w:szCs w:val="24"/>
        </w:rPr>
        <w:t xml:space="preserve"> Entende-se por eventos festivos, para os fins desta Lei, festividades de caráter cultural, recreativo, artístico, musical, esportivo ou similar, que envolvam celebrações públicas e privadas, custeadas com recursos da Administração Pública direta ou indireta.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3º</w:t>
      </w:r>
      <w:r>
        <w:rPr>
          <w:rFonts w:ascii="Arial" w:hAnsi="Arial"/>
          <w:color w:val="auto"/>
          <w:sz w:val="24"/>
          <w:szCs w:val="24"/>
        </w:rPr>
        <w:t xml:space="preserve"> A vedação prevista nesta lei abrange: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 - contratação de shows artísticos e estruturas para eventos (palcos, som, iluminação, segurança, etc.);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 - distribuição de brindes, alimentos ou quaisquer itens destinados ao entretenimento;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III - repasses financeiros a entidades para a realização de festas e eventos.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4º</w:t>
      </w:r>
      <w:r>
        <w:rPr>
          <w:rFonts w:ascii="Arial" w:hAnsi="Arial"/>
          <w:color w:val="auto"/>
          <w:sz w:val="24"/>
          <w:szCs w:val="24"/>
        </w:rPr>
        <w:t xml:space="preserve"> A exceção à vedação somente será permitida mediante justificativa técnica, devidamente publicada, demonstrando que o evento trará benefícios sociais superiores aos custos envolvidos, desde que não comprometa as ações de enfrentamento à situação de calamidade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Paragrafo Único</w:t>
      </w:r>
      <w:r>
        <w:rPr>
          <w:rFonts w:ascii="Arial" w:hAnsi="Arial"/>
          <w:color w:val="auto"/>
          <w:sz w:val="24"/>
          <w:szCs w:val="24"/>
        </w:rPr>
        <w:t xml:space="preserve"> Para fins do disposto neste artigo, considera-se estimativa prévia,  a apresentação de orçamento aproximado com base em cotações, valores praticados em eventos similares ou referência técnica emitida pela Secretaria competente, não sendo exigida comprovação exata dos custos futuros. O objetivo é garantir planejamento orçamentário mínimo, sem engessar a discricionariedade do gestor.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5º</w:t>
      </w:r>
      <w:r>
        <w:rPr>
          <w:rFonts w:ascii="Arial" w:hAnsi="Arial"/>
          <w:color w:val="auto"/>
          <w:sz w:val="24"/>
          <w:szCs w:val="24"/>
        </w:rPr>
        <w:t xml:space="preserve"> O descumprimento desta Lei sujeitará o responsável às sanções previstas no Decreto-Lei 201/67.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Art. 6º</w:t>
      </w:r>
      <w:r>
        <w:rPr>
          <w:rFonts w:ascii="Arial" w:hAnsi="Arial"/>
          <w:color w:val="auto"/>
          <w:sz w:val="24"/>
          <w:szCs w:val="24"/>
        </w:rPr>
        <w:t xml:space="preserve"> Esta Lei entra em vigor na data de sua publicação.</w:t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firstLine="170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Sala das Sessões, 07 de agosto de 2025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Renara Cristina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Vereadora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Ttulo1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PARECER JURÍDICO</w:t>
      </w:r>
    </w:p>
    <w:p>
      <w:pPr>
        <w:pStyle w:val="Normal"/>
        <w:autoSpaceDE w:val="false"/>
        <w:spacing w:lineRule="auto" w:line="240" w:before="0" w:after="57"/>
        <w:jc w:val="center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1050" w:leader="none"/>
        </w:tabs>
        <w:autoSpaceDE w:val="false"/>
        <w:spacing w:lineRule="auto" w:line="240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De</w:t>
        <w:tab/>
        <w:t xml:space="preserve">: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Procuradoria - Geral da Câmara</w:t>
      </w:r>
    </w:p>
    <w:p>
      <w:pPr>
        <w:pStyle w:val="Normal"/>
        <w:tabs>
          <w:tab w:val="clear" w:pos="709"/>
          <w:tab w:val="left" w:pos="1050" w:leader="none"/>
        </w:tabs>
        <w:autoSpaceDE w:val="false"/>
        <w:spacing w:lineRule="auto" w:line="240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Para</w:t>
        <w:tab/>
        <w:t xml:space="preserve">: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Mesa Diretora</w:t>
      </w:r>
    </w:p>
    <w:p>
      <w:pPr>
        <w:pStyle w:val="Normal"/>
        <w:tabs>
          <w:tab w:val="clear" w:pos="709"/>
          <w:tab w:val="left" w:pos="1050" w:leader="none"/>
        </w:tabs>
        <w:autoSpaceDE w:val="false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Matéria</w:t>
        <w:tab/>
        <w:t xml:space="preserve">: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Projeto de Lei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SUBSTITUTIVO Nº 01, DE 07 DE AGOSTO DE 2025, AO PROJETO DE LEI Nº 4.662, DE 08 DE MAIO DE 2025 “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shd w:fill="auto" w:val="clear"/>
          <w:lang w:eastAsia="pt-BR" w:bidi="ar-SA"/>
        </w:rPr>
        <w:t>Veda a  realização de eventos festivos com recursos públicos no âmbito do Município de Timóteo durante a vigência de estado calamidade pública.</w:t>
      </w:r>
    </w:p>
    <w:p>
      <w:pPr>
        <w:pStyle w:val="Normal"/>
        <w:tabs>
          <w:tab w:val="clear" w:pos="709"/>
          <w:tab w:val="left" w:pos="1050" w:leader="none"/>
        </w:tabs>
        <w:autoSpaceDE w:val="false"/>
        <w:spacing w:lineRule="auto" w:line="240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Autoria</w:t>
        <w:tab/>
        <w:t xml:space="preserve">: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Executivo Municipal</w:t>
      </w:r>
    </w:p>
    <w:p>
      <w:pPr>
        <w:pStyle w:val="Normal"/>
        <w:tabs>
          <w:tab w:val="clear" w:pos="709"/>
          <w:tab w:val="left" w:pos="1050" w:leader="none"/>
        </w:tabs>
        <w:autoSpaceDE w:val="false"/>
        <w:bidi w:val="0"/>
        <w:spacing w:lineRule="auto" w:line="240" w:before="0" w:after="57"/>
        <w:jc w:val="both"/>
        <w:rPr>
          <w:rFonts w:ascii="Google Sans;sans-serif" w:hAnsi="Google Sans;sans-serif"/>
          <w:color w:val="1B1C1D"/>
          <w:sz w:val="24"/>
          <w:szCs w:val="24"/>
        </w:rPr>
      </w:pPr>
      <w:r>
        <w:rPr>
          <w:rStyle w:val="Nfaseforte"/>
          <w:rFonts w:eastAsia="Arial"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Data</w:t>
        <w:tab/>
        <w:t xml:space="preserve">: </w:t>
      </w:r>
      <w:r>
        <w:rPr>
          <w:rStyle w:val="Nfaseforte"/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12/08</w:t>
      </w:r>
      <w:r>
        <w:rPr>
          <w:rStyle w:val="Nfaseforte"/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/2025</w:t>
      </w:r>
    </w:p>
    <w:p>
      <w:pPr>
        <w:pStyle w:val="Corpodotexto"/>
        <w:bidi w:val="0"/>
        <w:spacing w:lineRule="auto" w:line="276"/>
        <w:jc w:val="both"/>
        <w:rPr>
          <w:rStyle w:val="Nfaseforte"/>
          <w:b w:val="false"/>
          <w:b w:val="false"/>
          <w:bCs w:val="false"/>
          <w:color w:val="auto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/>
          <w:bCs/>
          <w:color w:val="auto"/>
          <w:sz w:val="24"/>
          <w:szCs w:val="24"/>
          <w:u w:val="single"/>
        </w:rPr>
        <w:t>1</w:t>
      </w:r>
      <w:r>
        <w:rPr>
          <w:rStyle w:val="Nfaseforte"/>
          <w:rFonts w:ascii="Times New Roman" w:hAnsi="Times New Roman"/>
          <w:b/>
          <w:bCs/>
          <w:color w:val="auto"/>
          <w:sz w:val="24"/>
          <w:szCs w:val="24"/>
          <w:u w:val="single"/>
        </w:rPr>
        <w:t>. RELATÓRIO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Trata-se de análise jurídica do Projeto de Lei de iniciativa parlamentar que veda a realização, o patrocínio ou o custeio, total ou parcial, com recursos públicos municipais, de eventos festivos no âmbito do Município de Timóteo enquanto perdurar o estado de calamidade pública declarado oficialmente.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 projeto possui seis artigos, definindo as hipóteses de vedação, os tipos de eventos abrangidos, as exceções permitidas mediante justificativa técnica, e prevê sanções para o seu descumprimento.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 presente parecer visa avaliar a constitucionalidade e legalidade da proposição, especialmente sob os aspectos da competência legislativa, iniciativa do projeto, conformidade com princípios constitucionais e demais normas infraconstitucionais.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cs="Times New Roman" w:ascii="Times New Roman" w:hAnsi="Times New Roman"/>
          <w:b/>
          <w:bCs/>
          <w:color w:val="1B1C1D"/>
          <w:position w:val="0"/>
          <w:sz w:val="24"/>
          <w:sz w:val="24"/>
          <w:szCs w:val="24"/>
          <w:u w:val="single"/>
          <w:shd w:fill="auto" w:val="clear"/>
          <w:vertAlign w:val="baseline"/>
          <w:lang w:val="pt-BR"/>
        </w:rPr>
        <w:t xml:space="preserve">2 – FUNDAMENTAÇÃO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unicipal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Nos termos do art. 30, I e II, da Constituição Federal:</w:t>
      </w:r>
    </w:p>
    <w:p>
      <w:pPr>
        <w:pStyle w:val="Corpodotexto"/>
        <w:widowControl/>
        <w:suppressAutoHyphens w:val="true"/>
        <w:bidi w:val="0"/>
        <w:spacing w:lineRule="auto" w:line="276" w:before="0" w:after="140"/>
        <w:ind w:left="226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Art. 30. Compete aos Municípios:</w:t>
        <w:br/>
        <w:t>I - legislar sobre assuntos de interesse local;</w:t>
        <w:br/>
        <w:t>II - suplementar a legislação federal e a estadual no que couber.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 conteúdo do projeto trata da destinação de recursos públicos municipais para a realização de eventos festivos, em contextos de estado de calamidade. Trata-se de matéria de evidente interesse local, envolvendo critérios de gestão fiscal, responsabilidade administrativa e prioridades em situações emergenciais.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Portanto, não há vício de competência material.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Em relação a competência de iniciativa a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Constituição Federal reserva ao Chefe do Poder Executivo a iniciativa para proposição de leis que tratem de: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criação de cargos e funções públicas;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estruturação da administração;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organização de serviços públicos.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Contudo, o projeto em questão não cria obrigações diretas à estrutura administrativa, não interfere na organização do Executivo, tampouco gera impacto na criação de cargos ou funções.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 proposição limita-se a definir, em caráter geral e normativo, regras sobre a aplicação de recursos públicos, matéria que pode, sim, ser proposta por parlamentar.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 jurisprudência do STF tem admitido, de forma consolidada, a possibilidade de o Poder Legislativo dispor sobre normas de controle da aplicação de recursos públicos e princípios da administração pública, desde que não invadam competência privativa do Executivo.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Portanto, não há vício de iniciativa.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 projeto encontra respaldo nos princípios do art. 37 da Constituição Federal, notadamente: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Legalidade – impõe balizas objetivas à administração;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Moralidade – veda gastos supérfluos em momentos críticos;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Eficiência – direciona recursos para prioridades públicas;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Interesse Público – preserva a finalidade essencial da Administração.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Além disso, a norma não impõe vedação absoluta e irrestrita, pois prevê exceção mediante justificativa técnica publicada, desde que demonstrados benefícios sociais superiores aos custos.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 norma é proporcional, razoável e atende ao princípio da finalidade pública.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4. Conformidade com a Lei Orgânica Municipal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Não se identificam, em princípio, disposições na Lei Orgânica Municipal que sejam incompatíveis com a matéria do projeto. A Câmara Municipal possui competência para deliberar sobre o uso de recursos públicos em nível local, especialmente em situações excepcionais, como estados de calamidade.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5. Previsão de Sanções (DL 201/67)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 projeto prevê, no art. 5º, que o descumprimento da norma sujeitará o responsável às sanções do Decreto-Lei nº 201/1967, que dispõe sobre responsabilidade de prefeitos e vereadores.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Embora juridicamente possível, a aplicação dessas sanções deve observar o devido processo legal e o princípio da tipicidade, só se justificando em caso de conduta dolosa, com desvio de finalidade e prejuízo comprovado ao erário.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A menção ao DL 201/67 é juridicamente válida, desde que interpretada com cautela e respeito aos princípios penais e administrativos.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III. CONCLUSÃO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Diante do exposto, esta Procuradoria Jurídica opina favoravelmente à constitucionalidade e legalidade do Projeto de Lei apresentado, por entender que: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Está dentro da competência legislativa do Município;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É de iniciativa legítima de parlamentar;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Não viola cláusulas constitucionais ou princípios administrativos;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Está em conformidade com a legislação vigente;</w:t>
      </w:r>
    </w:p>
    <w:p>
      <w:pPr>
        <w:pStyle w:val="Corpodotexto"/>
        <w:bidi w:val="0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 xml:space="preserve">    • </w:t>
      </w:r>
      <w:r>
        <w:rPr>
          <w:rStyle w:val="Nfaseforte"/>
          <w:rFonts w:ascii="Times New Roman" w:hAnsi="Times New Roman"/>
          <w:b w:val="false"/>
          <w:bCs w:val="false"/>
          <w:color w:val="auto"/>
          <w:sz w:val="24"/>
          <w:szCs w:val="24"/>
        </w:rPr>
        <w:t>Observa a proporcionalidade e razoabilidade exigidas.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Google Sans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LibreOffice/7.2.2.2$Windows_X86_64 LibreOffice_project/02b2acce88a210515b4a5bb2e46cbfb63fe97d56</Application>
  <AppVersion>15.0000</AppVersion>
  <Pages>5</Pages>
  <Words>972</Words>
  <Characters>5620</Characters>
  <CharactersWithSpaces>6591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2025-07-23T16:15:02Z</dcterms:created>
  <dc:creator/>
  <dc:description/>
  <dc:language>pt-BR</dc:language>
  <cp:lastModifiedBy/>
  <cp:lastPrinted>2025-08-06T13:51:16Z</cp:lastPrinted>
  <dcterms:modified xsi:type="dcterms:W3CDTF">2025-08-12T15:01:28Z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