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</w:rPr>
        <w:t>PROJETO DE LEI Nº 4.72</w:t>
      </w:r>
      <w:r>
        <w:rPr>
          <w:rFonts w:cs="Arial" w:ascii="Arial" w:hAnsi="Arial"/>
          <w:b/>
          <w:bCs/>
        </w:rPr>
        <w:t>4</w:t>
      </w:r>
      <w:r>
        <w:rPr>
          <w:rFonts w:cs="Arial" w:ascii="Arial" w:hAnsi="Arial"/>
          <w:b/>
          <w:bCs/>
        </w:rPr>
        <w:t>, DE 10 DE DEZEMBRO DE 2025</w:t>
      </w:r>
    </w:p>
    <w:p>
      <w:pPr>
        <w:pStyle w:val="Normal"/>
        <w:spacing w:lineRule="auto" w:line="276" w:before="0" w:after="0"/>
        <w:ind w:left="396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left="396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left="396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hanging="0" w:left="5102" w:right="0"/>
        <w:jc w:val="both"/>
        <w:rPr/>
      </w:pPr>
      <w:r>
        <w:rPr>
          <w:rFonts w:cs="Arial" w:ascii="Arial" w:hAnsi="Arial"/>
        </w:rPr>
        <w:t>Altera a Lei nº 4.070, de 11 de novembro de 2025 e dá outras providências.</w:t>
      </w:r>
    </w:p>
    <w:p>
      <w:pPr>
        <w:pStyle w:val="Normal"/>
        <w:widowControl/>
        <w:bidi w:val="0"/>
        <w:spacing w:lineRule="auto" w:line="276" w:before="0" w:after="0"/>
        <w:ind w:hanging="0" w:left="5102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hanging="0" w:left="5102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/>
      </w:pPr>
      <w:r>
        <w:rPr>
          <w:rFonts w:cs="Arial" w:ascii="Arial" w:hAnsi="Arial"/>
        </w:rPr>
        <w:t>A CÂMARA MUNICIPAL DE TIMÓTEO aprova:</w:t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firstLine="1644" w:left="0" w:right="0"/>
        <w:jc w:val="both"/>
        <w:rPr/>
      </w:pPr>
      <w:r>
        <w:rPr>
          <w:rFonts w:cs="Arial" w:ascii="Arial" w:hAnsi="Arial"/>
          <w:b/>
          <w:bCs/>
        </w:rPr>
        <w:t>Art. 1º</w:t>
      </w:r>
      <w:r>
        <w:rPr>
          <w:rFonts w:cs="Arial" w:ascii="Arial" w:hAnsi="Arial"/>
        </w:rPr>
        <w:t xml:space="preserve"> Os artigos 3º e 7º da Lei nº 4.070, de 11 de novembro de 2025, passam a vigorar com as seguintes redações:</w:t>
      </w:r>
    </w:p>
    <w:p>
      <w:pPr>
        <w:pStyle w:val="Normal"/>
        <w:widowControl/>
        <w:bidi w:val="0"/>
        <w:spacing w:lineRule="auto" w:line="276" w:before="0" w:after="0"/>
        <w:ind w:firstLine="1644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hanging="0" w:left="1701" w:right="0"/>
        <w:jc w:val="both"/>
        <w:rPr/>
      </w:pPr>
      <w:r>
        <w:rPr>
          <w:rFonts w:cs="Arial" w:ascii="Arial" w:hAnsi="Arial"/>
          <w:i/>
          <w:iCs/>
        </w:rPr>
        <w:t>“</w:t>
      </w:r>
      <w:r>
        <w:rPr>
          <w:rFonts w:cs="Arial" w:ascii="Arial" w:hAnsi="Arial"/>
          <w:i/>
          <w:iCs/>
        </w:rPr>
        <w:t>Art. 3º O subsídio de que trata esta Lei é concedido a título de incentivo fiscal, visando à melhoria das condições das frotas, dos equipamentos e dos serviços prestados à população pelas empresas beneficiárias, e será compensado com débitos tributários vencidos da empresa concessionária do transporte público coletivo, até a quitação integral da dívida existente até a data da publicação desta Lei.” (NR)</w:t>
      </w:r>
    </w:p>
    <w:p>
      <w:pPr>
        <w:pStyle w:val="Normal"/>
        <w:widowControl/>
        <w:bidi w:val="0"/>
        <w:spacing w:lineRule="auto" w:line="276" w:before="0" w:after="0"/>
        <w:ind w:hanging="0" w:left="1701" w:right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/>
        <w:bidi w:val="0"/>
        <w:spacing w:lineRule="auto" w:line="276" w:before="0" w:after="0"/>
        <w:ind w:hanging="0" w:left="1701" w:right="0"/>
        <w:jc w:val="both"/>
        <w:rPr/>
      </w:pPr>
      <w:r>
        <w:rPr>
          <w:rFonts w:cs="Arial" w:ascii="Arial" w:hAnsi="Arial"/>
          <w:i/>
          <w:iCs/>
        </w:rPr>
        <w:t>“</w:t>
      </w:r>
      <w:r>
        <w:rPr>
          <w:rFonts w:cs="Arial" w:ascii="Arial" w:hAnsi="Arial"/>
          <w:i/>
          <w:iCs/>
        </w:rPr>
        <w:t>Art. 7º Esta Lei entra em vigor na data de sua publicação, retroagindo seus efeitos a 1º de dezembro de 2024.” (NR)</w:t>
      </w:r>
    </w:p>
    <w:p>
      <w:pPr>
        <w:pStyle w:val="Normal"/>
        <w:widowControl/>
        <w:bidi w:val="0"/>
        <w:spacing w:lineRule="auto" w:line="276" w:before="0" w:after="0"/>
        <w:ind w:hanging="0" w:left="1701" w:right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/>
      </w:pPr>
      <w:r>
        <w:rPr>
          <w:rFonts w:cs="Arial" w:ascii="Arial" w:hAnsi="Arial"/>
          <w:b/>
          <w:bCs/>
        </w:rPr>
        <w:t>Art. 2º</w:t>
      </w:r>
      <w:r>
        <w:rPr>
          <w:rFonts w:cs="Arial" w:ascii="Arial" w:hAnsi="Arial"/>
        </w:rPr>
        <w:t xml:space="preserve"> Esta Lei entra em vigor na data de sua publicação.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/>
      </w:pPr>
      <w:r>
        <w:rPr>
          <w:rFonts w:cs="Arial" w:ascii="Arial" w:hAnsi="Arial"/>
        </w:rPr>
        <w:t>Timóteo, 10 de dezembro de 2025.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</w:rPr>
        <w:t>Vitor Vicente do Prado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</w:rPr>
        <w:t>Prefeito de Timóteo</w:t>
      </w:r>
      <w:r>
        <w:br w:type="page"/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</w:rPr>
        <w:t>MENSAGEM 57/2025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>Excelentíssimo Senhor Presidente da Câmara Municipal de Timóteo/MG,</w:t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>Ilustríssimos Vereadores,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 xml:space="preserve">Submeto à elevada apreciação dessa Casa Legislativa o Projeto de Lei que altera a Lei nº 4.070, de 11 de novembro de 2025, que institui subsídio destinado à modicidade tarifária do serviço de transporte público coletivo e à preservação do equilíbrio econômico-financeiro da concessão. 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>A proposição busca aperfeiçoar a legislação vigente, de forma a assegurar maior clareza normativa e melhor alinhamento entre o interesse público e o desempenho efetivo da concessionária.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 xml:space="preserve">A Lei nº 4.070/2025 estabeleceu importante mecanismo de incentivo fiscal, ao permitir a compensação do valor do subsídio com débitos tributários anteriormente constituídos, permitindo ao Município adotar solução racional para a equação tarifária, ao mesmo tempo em que promove a regularidade arrecadatória e estimula a melhoria do serviço. 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>Com a execução da norma em seus primeiros meses, verificou-se a necessidade de aprimoramentos pontuais, sem alterar a essência da política pública, mas garantindo maior precisão jurídica e administrativa.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 xml:space="preserve">O Projeto de Lei introduz nova redação ao artigo 3º para explicitar a natureza de incentivo fiscal do subsídio e reforçar sua finalidade de qualificar a frota, os equipamentos e as condições gerais da prestação do serviço. 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>Altera também o artigo 7º para estabelecer efeitos retroativos à data de 1º de dezembro de 2024, assegurando coerência com os registros operacionais, contábeis e tributários vinculados à concessão, bem como com a própria dinâmica de implementação da política tarifária.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 xml:space="preserve">Além dessas modificações, a proposta acrescenta dispositivos que instituem condicionantes para o recebimento do subsídio. Tais requisitos funcionam como instrumentos elementares de acompanhamento e transparência das atividades da concessionária, de modo a permitir que o Município disponha de informações essenciais para avaliar a execução contratual e a correta aplicação dos recursos envolvidos. </w:t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 xml:space="preserve">Diante do exposto, o Projeto de Lei aperfeiçoa a legislação vigente, mantém a diretriz central da política de modicidade tarifária e estabelece parâmetros de controle para a fruição do benefício. 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>Por todas essas razões, conto com o apoio dos ilustres Vereadores para a aprovação da presente proposta legislativa, certo de que representa avanço significativo na gestão do transporte público coletivo de nosso Município e na proteção do interesse da população usuária.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>
          <w:rFonts w:cs="Arial" w:ascii="Arial" w:hAnsi="Arial"/>
        </w:rPr>
        <w:t>Renovo, por fim, meus protestos de elevada consideração e apreço.</w:t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</w:rPr>
        <w:t>Vitor Vicente do Prado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</w:rPr>
        <w:t>Prefeito de Timóteo</w:t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5714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5714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5714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5714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5714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5714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5714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5714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5714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571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571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5714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5714f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5714f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5714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5714f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5714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5714f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5714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5714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5714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5714f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5714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5714f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5714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5714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5714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5714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57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Revision">
    <w:name w:val="Revision"/>
    <w:uiPriority w:val="99"/>
    <w:semiHidden/>
    <w:qFormat/>
    <w:rsid w:val="008d4514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LibreOffice/24.2.3.2$Windows_X86_64 LibreOffice_project/433d9c2ded56988e8a90e6b2e771ee4e6a5ab2ba</Application>
  <AppVersion>15.0000</AppVersion>
  <Pages>3</Pages>
  <Words>543</Words>
  <Characters>2991</Characters>
  <CharactersWithSpaces>3514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2025-12-08T21:06:00Z</dcterms:created>
  <dc:creator>Larissa Magalhães de Oliveira</dc:creator>
  <dc:description/>
  <dc:language>pt-BR</dc:language>
  <cp:lastModifiedBy/>
  <cp:lastPrinted>2025-12-10T17:41:33Z</cp:lastPrinted>
  <dcterms:modified xsi:type="dcterms:W3CDTF">2025-12-11T12:36:32Z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