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EMENDA Nº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Apresentamos ao Projeto de Resolução nº 569, de 15 de dezembro de 2025, que “Altera o Anexo IV da Resolução nº 366, de 23 de setembro de 2015, que “Dispõe sobre o Quadro de Pessoal da Câmara Municipal de Timóteo e dá outras providências”, de autoria da Mesa Diretora, a seguintes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Emenda: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Dê-se ao artigo 1º a seguinte redação: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cargos 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Secretário Administrativo, Procurador-Geral,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Procurador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Jurídico, Gerente de Suprimentos, Gerente de Comunicação,  Gerente da Tecnologia da Informação – 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Superintendente dos CIAC´s,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constantes do  Anexo IV da Resolução nº 366, de 23 de setembro de 2015, que “Dispõe sobre o Quadro de Pessoal da Câmara Municipal de Timóteo e dá outras providências” passam a vigorar com as seguintes alterações: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- Quadro de cargos de provimento em comissão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-272.0" w:type="dxa"/>
        <w:tblLayout w:type="fixed"/>
        <w:tblLook w:val="0000"/>
      </w:tblPr>
      <w:tblGrid>
        <w:gridCol w:w="1513"/>
        <w:gridCol w:w="752"/>
        <w:gridCol w:w="1425"/>
        <w:gridCol w:w="1574"/>
        <w:gridCol w:w="3807"/>
        <w:tblGridChange w:id="0">
          <w:tblGrid>
            <w:gridCol w:w="1513"/>
            <w:gridCol w:w="752"/>
            <w:gridCol w:w="1425"/>
            <w:gridCol w:w="1574"/>
            <w:gridCol w:w="38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Escolaridade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Secretário Administrativo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 8.054,88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superior completo.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Dirigir, planejar e coordenar, sob orientação da Presidência, a execução de todos os serviços técnico-administrativos da Câmara Municipal;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 Elaborar e propor, em articulação com outros órgãos da Câmara Municipal, as políticas de gestão de recursos humanos, patrimônio, materiais, transporte, sistemas de informações e de apoio;</w:t>
              <w:br w:type="textWrapping"/>
              <w:t xml:space="preserve">III. Planejar, organizar e executar os procedimentos administrativos relativos à admissão de servidores públicos, em especial os processos de concurso público, processos seletivos e de contratação temporária, bem como os procedimentos de demissão, exoneração, aposentadoria, licenciamento e afastamento de servidores públicos;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 Planejar, organizar e executar os procedimentos administrativos relativos à aquisição, compras e alienação de bens e serviços, em especial os procedimentos licitatórios, de dispensa e inexigibilidade de licitação.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 Encarregar-se da administração, acompanhamento, controle e treinamento e capacitação dos servidores da Câmara Municipal;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Administrar e controlar materiais e patrimônio;</w:t>
              <w:br w:type="textWrapping"/>
              <w:t xml:space="preserve">VII. Promover a ordem, a segurança e vigilância do patrimônio humano e material da Câmara Municipal;</w:t>
              <w:br w:type="textWrapping"/>
              <w:t xml:space="preserve">VIII. Implementar políticas de modernização administrativa.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Procurador-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R$9.054,88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superior completo em Direito e registro na Ordem dos Advogados do Brasil.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I. Representar judicialmente a Câmara Municipal;</w:t>
              <w:br w:type="textWrapping"/>
              <w:t xml:space="preserve">II. Coordenar a equipe de servidores lotada na Procuradoria Geral;</w:t>
              <w:br w:type="textWrapping"/>
              <w:t xml:space="preserve">III. Organizar informações relativas à jurisprudência, doutrina e legislação federal, estadual e municipal;</w:t>
              <w:br w:type="textWrapping"/>
              <w:t xml:space="preserve">IV. Assessorar juridicamente a Mesa Diretora, especialmente a Presidência, as Comissões e os vereadores no desempenho de suas atividades parlamentares;</w:t>
              <w:br w:type="textWrapping"/>
              <w:t xml:space="preserve">V. Coordenar as atividades jurídico-administrativas, judiciais, em especial as relativas ao processo legislativo, ao setor de licitações e contratos, à elaboração legislativa, ao setor de pesquisa, à assessoria e análise prévia das proposituras;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VI. Exercer atribuições consultivas em matéria de licitação e contratos, de pessoal efetivo e comissionado, bem como outras matérias que digam respeito à administração do Legislativo.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VII. Dirigir, em nível superior, as atividades do PROCON da Câmara Municipal.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VIII. Conduzir a interlocução institucional da Câmara Municipal com o Ministério Público, com os Tribunais de Contas, com o Poder Judiciário e com a Ordem dos Advogados do Brasil, formulando propostas de atuação conjunta em prol da eficiência, transparência e moralidade na gestão pública e respondendo a seus questionamentos, sugestões e recomendações.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Procurador Jurídico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R$7.500,00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superior completo em Direito e registro na Ordem dos Advogados do Brasil.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I. Prestar assessoria técnico-jurídica a procedimentos disciplinares e sindicâncias;</w:t>
              <w:br w:type="textWrapping"/>
              <w:t xml:space="preserve">II. Prestar assessoria e consultoria à Mesa Diretora, aos vereadores, aos responsáveis pelos órgãos de staff e de linha, em todas as matérias relacionadas aos serviços administrativos e de suporte da Câmara Municipal;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III. Elaborar e revisar minutas de contratos, ajustes e convênios, bem como se manifestar sobre prorrogações, aditamentos, rescisões, aplicação de penalidades e demais incidentes relativos à execução de contrato firmado pela Edilidade;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IV. Dar cumprimento a outras atribuições atinentes a sua área de competência, que lhe venham a ser determinadas pela Mesa Diretora, em especial substituir automaticamente o Procurador Geral em seus impedimentos, ausências temporárias, férias, licenças, afastamentos ocasionais, bem como no caso de vacância do cargo até a nomeação de novo titular.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Gerente de Comunicação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R$4.950,00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Gerenciar a política de comunicação institucional, em especial as atividades de relacionamento e divulgação junto às organizações de comunicação voltadas à televisão, rádio, jornais, revistas e mídias sociais.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 Gerenciar a produção de inserções em mídia especializada, especialmente voltadas para vídeo, TV, rádio e internet.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 Responsabilizar-se pelo endomarketing dos espaços e prédios da Câmara Municipal; </w:t>
              <w:br w:type="textWrapping"/>
              <w:t xml:space="preserve">IV. Promover a divulgação e distribuição de material informativo de interesse da Câmara Municipal;</w:t>
              <w:br w:type="textWrapping"/>
              <w:t xml:space="preserve">V. Dar cobertura publicitária a todos os eventos realizados pela Câmara Municipal.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Gerente de Suprimentos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.6.000,00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 completo e experiência comprovada na área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Coordenar e promover o processo de compras de suprimentos e serviços de interesse da Câmara;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 Coordenar, acompanhar e controlar os gastos de suprimentos de forma a manter os estoque destes materiais em quantidade que atenda a Câmara Municipal ;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 Adquirir materiais e equipamentos necessários ao desenvolvimento das atividades  da Câmara de acordo com procedimentos licitatórios vigentes;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 manter controle do estoque mediante registro das entradas e saídas de materiais;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efetuar levantamento de necessidades dos órgãos da Câmara com vistas à reposição do estoque;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  encarregar-se do processo licitatório para a contratação de obras e serviços de acordo com a legislação vigente;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 fiscalizar o cumprimento de contratos firmados pela Câmara, elaborando aditivos e providenciando a aplicação de penalidades, quando for o caso;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 conservar atualizado o cadastro de fornecedores;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 manter arquivo própio de documentos relativos às licitações e ao cadastro de fornecedores;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 manter cadastro atualizado dos bens adquiridos pela Câmara;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 manter controle e registro atualizado das transferências interdepartamentais dos bens da Câmara; providenciar o licenciamento e o emplacamento dos veículos da Câmara;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XII e providenciar a contratação e a renovação dos seguros de vida e de bens da Câmara.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Gerente da Tecnologia da Informação - 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R$3.250,00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superior completo: Sistemas de Informação, Engenharia de Computação.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Dirigir o Setor de TI na definição do suporte tecnológico em informática;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 Manter efetivo controle estratégico sobre o patrimônio / equipamentos de informática em condições de funcionamento;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  Recepcionar as demandas do setor referente a material de consumo e permanente, suprir os setores da Câmara respeitante aos suprimentos de informática, viabilizando seus regulares funcionamentos;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 Assessorar a Presidência quanto aos servidores efetivos do setor, sua capacitação e investimentos à curto, médio e longo prazo.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Superintendente dos CIACs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R$4.000,00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. Dirigir, em nível superior, as atividades do CIAC da Câmara Municipal;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. Supervisionar atendimentos, resolução de demandas, por meio de informes e relatórios;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 . Gerenciar o staff quanto à lisura dos atendimentos, compliance, guarda de dados sensíveis e protegidos;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 . Assessorar à Presidência quanto ao número de atendimentos e políticas de divulgação dos serviços;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. Fazer em nível superior articulação com demais serviços congêneres.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15 de dezembro de 2025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Marcus Fernandes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Vice-Presidente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Gualberto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Secretário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Lair Bueno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Vice-Presidente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2268" w:left="1701" w:right="1134" w:header="0" w:footer="0"/>
      <w:cols w:equalWidth="0" w:num="3">
        <w:col w:space="282" w:w="2835.6666666666665"/>
        <w:col w:space="282" w:w="2835.6666666666665"/>
        <w:col w:space="0" w:w="2835.666666666666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1"/>
    <w:next w:val="BodyText"/>
    <w:qFormat w:val="1"/>
    <w:pPr>
      <w:keepNext w:val="1"/>
      <w:widowControl w:val="1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1"/>
    <w:qFormat w:val="1"/>
    <w:pPr>
      <w:widowControl w:val="1"/>
      <w:suppressAutoHyphens w:val="0"/>
      <w:bidi w:val="0"/>
      <w:spacing w:after="140" w:before="0" w:line="276" w:lineRule="auto"/>
      <w:textAlignment w:val="top"/>
      <w:outlineLvl w:val="0"/>
    </w:pPr>
    <w:rPr>
      <w:rFonts w:ascii="Liberation Serif" w:cs="Arial" w:eastAsia="NSimSun" w:hAnsi="Liberation Serif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1"/>
      <w:suppressAutoHyphens w:val="0"/>
      <w:bidi w:val="0"/>
      <w:spacing w:after="140" w:before="0" w:line="276" w:lineRule="auto"/>
      <w:textAlignment w:val="top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1"/>
    <w:qFormat w:val="1"/>
    <w:pPr>
      <w:widowControl w:val="1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atabela">
    <w:name w:val="Conteúdo da tabela"/>
    <w:basedOn w:val="Normal1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</w:pPr>
    <w:rPr>
      <w:rFonts w:ascii="Liberation Serif" w:cs="Arial" w:eastAsia="NSimSun" w:hAnsi="Liberation Serif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PargrafodaLista">
    <w:name w:val="Parágrafo da Lista"/>
    <w:basedOn w:val="Normal11"/>
    <w:qFormat w:val="1"/>
    <w:pPr>
      <w:widowControl w:val="1"/>
      <w:suppressAutoHyphens w:val="0"/>
      <w:bidi w:val="0"/>
      <w:spacing w:line="1" w:lineRule="atLeast"/>
      <w:ind w:left="708" w:right="0" w:hanging="0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LO-Normal">
    <w:name w:val="LO-Normal"/>
    <w:qFormat w:val="1"/>
    <w:pPr>
      <w:widowControl w:val="0"/>
      <w:shd w:color="auto" w:fill="ffffff" w:val="clear"/>
      <w:suppressAutoHyphens w:val="0"/>
      <w:overflowPunct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ohit Hindi" w:eastAsia="WenQuanYi Micro Hei" w:hAnsi="Liberation Serif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1">
    <w:name w:val="Body Text1"/>
    <w:basedOn w:val="Normal11"/>
    <w:qFormat w:val="1"/>
    <w:pPr>
      <w:widowControl w:val="1"/>
      <w:suppressAutoHyphens w:val="0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NSimSun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Fxej5GTxEg1XIHsNW1u1+1XbA==">CgMxLjA4AHIhMVc2ejEwMDZDQWtURGplTEp1WkFPektPd0dnTURkZk1i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2025-03-19T19:15:30Z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