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0" w:hanging="15"/>
        <w:jc w:val="center"/>
        <w:rPr>
          <w:rFonts w:ascii="Arial" w:cs="Arial" w:eastAsia="Arial" w:hAnsi="Arial"/>
          <w:b w:val="1"/>
          <w:bCs w:val="1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shd w:fill="auto" w:val="clear"/>
          <w:vertAlign w:val="baseline"/>
          <w:rtl w:val="0"/>
        </w:rPr>
        <w:t xml:space="preserve">PROJETO DE RESOLUÇÃO Nº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shd w:fill="auto" w:val="clear"/>
          <w:vertAlign w:val="baseline"/>
          <w:rtl w:val="0"/>
        </w:rPr>
        <w:t xml:space="preserve">,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DEZEMBRO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shd w:fill="auto" w:val="clear"/>
          <w:vertAlign w:val="baseline"/>
          <w:rtl w:val="0"/>
        </w:rPr>
        <w:t xml:space="preserve">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0" w:firstLine="1417"/>
        <w:jc w:val="center"/>
        <w:rPr>
          <w:rFonts w:ascii="Arial" w:cs="Arial" w:eastAsia="Arial" w:hAnsi="Arial"/>
          <w:b w:val="1"/>
          <w:bCs w:val="1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0" w:firstLine="1417"/>
        <w:jc w:val="center"/>
        <w:rPr>
          <w:rFonts w:ascii="Arial" w:cs="Arial" w:eastAsia="Arial" w:hAnsi="Arial"/>
          <w:b w:val="1"/>
          <w:bCs w:val="1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0" w:firstLine="1417"/>
        <w:jc w:val="center"/>
        <w:rPr>
          <w:rFonts w:ascii="Arial" w:cs="Arial" w:eastAsia="Arial" w:hAnsi="Arial"/>
          <w:b w:val="0"/>
          <w:bCs w:val="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530" w:right="0" w:hanging="15"/>
        <w:jc w:val="both"/>
        <w:rPr>
          <w:b w:val="0"/>
          <w:bCs w:val="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shd w:fill="auto" w:val="clear"/>
          <w:vertAlign w:val="baseline"/>
          <w:rtl w:val="0"/>
        </w:rPr>
        <w:t xml:space="preserve">Cria funções gratificadas para os fins que especifica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0" w:firstLine="1417"/>
        <w:jc w:val="both"/>
        <w:rPr>
          <w:rFonts w:ascii="Arial" w:cs="Arial" w:eastAsia="Arial" w:hAnsi="Arial"/>
          <w:b w:val="0"/>
          <w:bCs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0" w:firstLine="1417"/>
        <w:jc w:val="both"/>
        <w:rPr>
          <w:rFonts w:ascii="Arial" w:cs="Arial" w:eastAsia="Arial" w:hAnsi="Arial"/>
          <w:b w:val="0"/>
          <w:bCs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hd w:fill="auto" w:val="clear"/>
        <w:ind w:left="0" w:right="0" w:firstLine="1701"/>
        <w:jc w:val="both"/>
        <w:rPr>
          <w:rFonts w:ascii="Arial" w:cs="Arial" w:eastAsia="Arial" w:hAnsi="Arial"/>
          <w:b w:val="0"/>
          <w:bCs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shd w:fill="auto" w:val="clear"/>
          <w:vertAlign w:val="baseline"/>
          <w:rtl w:val="0"/>
        </w:rPr>
        <w:t xml:space="preserve">A CÂMARA MUNICIPAL DE TIMÓTEO aprova:</w:t>
      </w:r>
    </w:p>
    <w:p w:rsidR="00000000" w:rsidDel="00000000" w:rsidP="00000000" w:rsidRDefault="00000000" w:rsidRPr="00000000" w14:paraId="00000009">
      <w:pPr>
        <w:widowControl w:val="0"/>
        <w:shd w:fill="auto" w:val="clear"/>
        <w:ind w:left="0" w:right="0" w:firstLine="1701"/>
        <w:jc w:val="both"/>
        <w:rPr>
          <w:rFonts w:ascii="Arial" w:cs="Arial" w:eastAsia="Arial" w:hAnsi="Arial"/>
          <w:b w:val="0"/>
          <w:bCs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0" w:firstLine="1417"/>
        <w:jc w:val="both"/>
        <w:rPr>
          <w:rFonts w:ascii="Arial" w:cs="Arial" w:eastAsia="Arial" w:hAnsi="Arial"/>
          <w:b w:val="0"/>
          <w:bCs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0" w:firstLine="1417"/>
        <w:jc w:val="both"/>
        <w:rPr>
          <w:rFonts w:ascii="Arial" w:cs="Arial" w:eastAsia="Arial" w:hAnsi="Arial"/>
          <w:b w:val="0"/>
          <w:bCs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hd w:fill="auto" w:val="clear"/>
        <w:ind w:left="0" w:right="0"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shd w:fill="auto" w:val="clear"/>
          <w:vertAlign w:val="baseline"/>
          <w:rtl w:val="0"/>
        </w:rPr>
        <w:t xml:space="preserve"> Ficam criadas as seguintes funções de confiança, a serem exercidas exclusivamente por servidores ocupantes de cargo efetivo, enquanto perdurar a situação de incompatibilidade entre os sistemas dos Poderes Executivo e Legislativo, conforme anexo 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0" w:firstLine="1417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hd w:fill="auto" w:val="clear"/>
        <w:ind w:left="0" w:right="0"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shd w:fill="auto" w:val="clear"/>
          <w:vertAlign w:val="baseline"/>
          <w:rtl w:val="0"/>
        </w:rPr>
        <w:t xml:space="preserve">I – Diretor de Integração Orçamentária;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hd w:fill="auto" w:val="clear"/>
        <w:ind w:left="0" w:right="0"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hd w:fill="auto" w:val="clear"/>
        <w:ind w:left="0" w:right="0"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shd w:fill="auto" w:val="clear"/>
          <w:vertAlign w:val="baseline"/>
          <w:rtl w:val="0"/>
        </w:rPr>
        <w:t xml:space="preserve">II – Assessor de Integração Orçamentária 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hd w:fill="auto" w:val="clear"/>
        <w:ind w:left="0" w:right="0"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hd w:fill="auto" w:val="clear"/>
        <w:ind w:left="0" w:right="0"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shd w:fill="auto" w:val="clear"/>
          <w:vertAlign w:val="baseline"/>
          <w:rtl w:val="0"/>
        </w:rPr>
        <w:t xml:space="preserve">III – Assessor Integração Orçamentária 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0" w:firstLine="1417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hd w:fill="auto" w:val="clear"/>
        <w:ind w:left="0" w:right="0"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000000"/>
          <w:sz w:val="24"/>
          <w:szCs w:val="24"/>
          <w:shd w:fill="auto" w:val="clear"/>
          <w:vertAlign w:val="baseline"/>
          <w:rtl w:val="0"/>
        </w:rPr>
        <w:t xml:space="preserve">Art. 2º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4"/>
          <w:szCs w:val="24"/>
          <w:shd w:fill="auto" w:val="clear"/>
          <w:vertAlign w:val="baseline"/>
          <w:rtl w:val="0"/>
        </w:rPr>
        <w:t xml:space="preserve"> O servidor efetivo nomeado para exercer as funções gratificadas criadas por esta Resolução receberá, pelas atividades, a gratificação constante do Anexo I, a ser acrescida aos seus vencimentos e a eles não se incorporando.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0" w:firstLine="1395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hd w:fill="auto" w:val="clear"/>
        <w:ind w:left="0" w:right="0"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000000"/>
          <w:sz w:val="24"/>
          <w:szCs w:val="24"/>
          <w:shd w:fill="auto" w:val="clear"/>
          <w:vertAlign w:val="baseline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4"/>
          <w:szCs w:val="24"/>
          <w:shd w:fill="auto" w:val="clear"/>
          <w:vertAlign w:val="baseline"/>
          <w:rtl w:val="0"/>
        </w:rPr>
        <w:t xml:space="preserve">. O valor atribuído às funções gratificadas criadas por esta Resolução, serão reajustadas no mesmo percentual e data dos servidores públicos.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0" w:firstLine="1417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hd w:fill="auto" w:val="clear"/>
        <w:ind w:left="0" w:right="0" w:firstLine="1701"/>
        <w:jc w:val="both"/>
        <w:rPr>
          <w:rFonts w:ascii="Arial" w:cs="Arial" w:eastAsia="Arial" w:hAnsi="Arial"/>
          <w:b w:val="0"/>
          <w:bCs w:val="0"/>
          <w:i w:val="0"/>
          <w:iCs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000000"/>
          <w:sz w:val="24"/>
          <w:szCs w:val="24"/>
          <w:shd w:fill="auto" w:val="clear"/>
          <w:vertAlign w:val="baseline"/>
          <w:rtl w:val="0"/>
        </w:rPr>
        <w:t xml:space="preserve">Art. 4º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4"/>
          <w:szCs w:val="24"/>
          <w:shd w:fill="auto" w:val="clear"/>
          <w:vertAlign w:val="baseline"/>
          <w:rtl w:val="0"/>
        </w:rPr>
        <w:t xml:space="preserve"> Esta Resolução entra em vigor na data de sua publicação.</w:t>
      </w:r>
    </w:p>
    <w:p w:rsidR="00000000" w:rsidDel="00000000" w:rsidP="00000000" w:rsidRDefault="00000000" w:rsidRPr="00000000" w14:paraId="0000001A">
      <w:pPr>
        <w:ind w:right="0" w:firstLine="1395"/>
        <w:jc w:val="left"/>
        <w:rPr>
          <w:rFonts w:ascii="Arial" w:cs="Arial" w:eastAsia="Arial" w:hAnsi="Arial"/>
          <w:b w:val="0"/>
          <w:bCs w:val="0"/>
          <w:i w:val="0"/>
          <w:iCs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0" w:firstLine="1395"/>
        <w:jc w:val="left"/>
        <w:rPr>
          <w:rFonts w:ascii="Arial" w:cs="Arial" w:eastAsia="Arial" w:hAnsi="Arial"/>
          <w:b w:val="0"/>
          <w:bCs w:val="0"/>
          <w:i w:val="0"/>
          <w:iCs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b w:val="0"/>
          <w:bCs w:val="0"/>
          <w:i w:val="0"/>
          <w:iCs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4"/>
          <w:szCs w:val="24"/>
          <w:shd w:fill="auto" w:val="clear"/>
          <w:vertAlign w:val="baseline"/>
          <w:rtl w:val="0"/>
        </w:rPr>
        <w:t xml:space="preserve">Timóteo, 15 de dezembro de 2025</w:t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b w:val="0"/>
          <w:bCs w:val="0"/>
          <w:i w:val="0"/>
          <w:iCs w:val="0"/>
          <w:color w:val="000000"/>
          <w:sz w:val="24"/>
          <w:szCs w:val="24"/>
          <w:shd w:fill="auto" w:val="clear"/>
          <w:vertAlign w:val="baseline"/>
        </w:rPr>
        <w:sectPr>
          <w:pgSz w:h="16838" w:w="11906" w:orient="portrait"/>
          <w:pgMar w:bottom="1134" w:top="2438" w:left="1134" w:right="1134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b w:val="0"/>
          <w:bCs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shd w:fill="auto" w:val="clear"/>
          <w:vertAlign w:val="baseline"/>
          <w:rtl w:val="0"/>
        </w:rPr>
        <w:t xml:space="preserve">Adriano Alvarenga</w:t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b w:val="0"/>
          <w:bCs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Presidente</w:t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  <w:b w:val="0"/>
          <w:bCs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Arial" w:cs="Arial" w:eastAsia="Arial" w:hAnsi="Arial"/>
          <w:b w:val="0"/>
          <w:bCs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Arial" w:cs="Arial" w:eastAsia="Arial" w:hAnsi="Arial"/>
          <w:b w:val="0"/>
          <w:bCs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shd w:fill="auto" w:val="clear"/>
          <w:vertAlign w:val="baseline"/>
          <w:rtl w:val="0"/>
        </w:rPr>
        <w:t xml:space="preserve">Marcus Fernandes</w:t>
      </w:r>
    </w:p>
    <w:p w:rsidR="00000000" w:rsidDel="00000000" w:rsidP="00000000" w:rsidRDefault="00000000" w:rsidRPr="00000000" w14:paraId="00000024">
      <w:pPr>
        <w:jc w:val="center"/>
        <w:rPr>
          <w:rFonts w:ascii="Arial" w:cs="Arial" w:eastAsia="Arial" w:hAnsi="Arial"/>
          <w:b w:val="0"/>
          <w:bCs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shd w:fill="auto" w:val="clear"/>
          <w:vertAlign w:val="baseline"/>
          <w:rtl w:val="0"/>
        </w:rPr>
        <w:t xml:space="preserve">1º Vice-Presidente</w:t>
      </w:r>
    </w:p>
    <w:p w:rsidR="00000000" w:rsidDel="00000000" w:rsidP="00000000" w:rsidRDefault="00000000" w:rsidRPr="00000000" w14:paraId="0000002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Arial" w:cs="Arial" w:eastAsia="Arial" w:hAnsi="Arial"/>
          <w:b w:val="0"/>
          <w:bCs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Arial" w:cs="Arial" w:eastAsia="Arial" w:hAnsi="Arial"/>
          <w:b w:val="0"/>
          <w:bCs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shd w:fill="auto" w:val="clear"/>
          <w:vertAlign w:val="baseline"/>
          <w:rtl w:val="0"/>
        </w:rPr>
        <w:t xml:space="preserve">Dr.Lair Bueno</w:t>
      </w:r>
    </w:p>
    <w:p w:rsidR="00000000" w:rsidDel="00000000" w:rsidP="00000000" w:rsidRDefault="00000000" w:rsidRPr="00000000" w14:paraId="00000029">
      <w:pPr>
        <w:jc w:val="center"/>
        <w:rPr>
          <w:rFonts w:ascii="Arial" w:cs="Arial" w:eastAsia="Arial" w:hAnsi="Arial"/>
          <w:b w:val="0"/>
          <w:bCs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shd w:fill="auto" w:val="clear"/>
          <w:vertAlign w:val="baseline"/>
          <w:rtl w:val="0"/>
        </w:rPr>
        <w:t xml:space="preserve">2ª Vice-Presidente</w:t>
      </w:r>
    </w:p>
    <w:p w:rsidR="00000000" w:rsidDel="00000000" w:rsidP="00000000" w:rsidRDefault="00000000" w:rsidRPr="00000000" w14:paraId="0000002A">
      <w:pPr>
        <w:jc w:val="center"/>
        <w:rPr>
          <w:rFonts w:ascii="Arial" w:cs="Arial" w:eastAsia="Arial" w:hAnsi="Arial"/>
          <w:b w:val="0"/>
          <w:bCs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Arial" w:cs="Arial" w:eastAsia="Arial" w:hAnsi="Arial"/>
          <w:b w:val="0"/>
          <w:bCs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Arial" w:cs="Arial" w:eastAsia="Arial" w:hAnsi="Arial"/>
          <w:b w:val="0"/>
          <w:bCs w:val="0"/>
          <w:i w:val="0"/>
          <w:iCs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4"/>
          <w:szCs w:val="24"/>
          <w:shd w:fill="auto" w:val="clear"/>
          <w:vertAlign w:val="baseline"/>
          <w:rtl w:val="0"/>
        </w:rPr>
        <w:t xml:space="preserve">Pastora Sônia Andrade</w:t>
      </w:r>
    </w:p>
    <w:p w:rsidR="00000000" w:rsidDel="00000000" w:rsidP="00000000" w:rsidRDefault="00000000" w:rsidRPr="00000000" w14:paraId="0000002D">
      <w:pPr>
        <w:jc w:val="center"/>
        <w:rPr>
          <w:rFonts w:ascii="Arial" w:cs="Arial" w:eastAsia="Arial" w:hAnsi="Arial"/>
          <w:b w:val="0"/>
          <w:bCs w:val="0"/>
          <w:i w:val="1"/>
          <w:i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4"/>
          <w:szCs w:val="24"/>
          <w:shd w:fill="auto" w:val="clear"/>
          <w:vertAlign w:val="baseline"/>
          <w:rtl w:val="0"/>
        </w:rPr>
        <w:t xml:space="preserve">1ª Secretária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right="0" w:firstLine="15"/>
        <w:jc w:val="center"/>
        <w:rPr>
          <w:rFonts w:ascii="Arial" w:cs="Arial" w:eastAsia="Arial" w:hAnsi="Arial"/>
          <w:b w:val="0"/>
          <w:bCs w:val="0"/>
          <w:i w:val="1"/>
          <w:i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right="0" w:firstLine="15"/>
        <w:jc w:val="center"/>
        <w:rPr>
          <w:rFonts w:ascii="Arial" w:cs="Arial" w:eastAsia="Arial" w:hAnsi="Arial"/>
          <w:b w:val="0"/>
          <w:bCs w:val="0"/>
          <w:i w:val="1"/>
          <w:i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right="0" w:firstLine="15"/>
        <w:jc w:val="center"/>
        <w:rPr>
          <w:rFonts w:ascii="Arial" w:cs="Arial" w:eastAsia="Arial" w:hAnsi="Arial"/>
          <w:b w:val="0"/>
          <w:bCs w:val="0"/>
          <w:i w:val="0"/>
          <w:iC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Fred Gualberto</w:t>
      </w:r>
    </w:p>
    <w:p w:rsidR="00000000" w:rsidDel="00000000" w:rsidP="00000000" w:rsidRDefault="00000000" w:rsidRPr="00000000" w14:paraId="00000031">
      <w:pPr>
        <w:ind w:right="0" w:firstLine="15"/>
        <w:jc w:val="center"/>
        <w:rPr>
          <w:rFonts w:ascii="Arial" w:cs="Arial" w:eastAsia="Arial" w:hAnsi="Arial"/>
          <w:b w:val="0"/>
          <w:bCs w:val="0"/>
          <w:i w:val="0"/>
          <w:iCs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134" w:top="2438" w:left="1134" w:right="1134" w:header="0" w:footer="0"/>
          <w:cols w:equalWidth="0" w:num="2">
            <w:col w:space="282" w:w="4677.999999999999"/>
            <w:col w:space="0" w:w="4677.999999999999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2º Secretário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shd w:fill="auto" w:val="clear"/>
        <w:spacing w:after="0" w:before="0" w:line="240" w:lineRule="auto"/>
        <w:ind w:left="6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hd w:fill="auto" w:val="clear"/>
        <w:spacing w:after="0" w:before="0" w:line="240" w:lineRule="auto"/>
        <w:ind w:left="6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hd w:fill="auto" w:val="clear"/>
        <w:spacing w:after="0" w:before="0" w:line="240" w:lineRule="auto"/>
        <w:ind w:left="6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6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6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FUNÇÕES DE CONFIANÇA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6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6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ATRIBUIÇÕES E GRATIFICAÇÃO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6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5.0" w:type="dxa"/>
        <w:jc w:val="left"/>
        <w:tblInd w:w="-163.0" w:type="dxa"/>
        <w:tblLayout w:type="fixed"/>
        <w:tblLook w:val="0000"/>
      </w:tblPr>
      <w:tblGrid>
        <w:gridCol w:w="2730"/>
        <w:gridCol w:w="4873"/>
        <w:gridCol w:w="2322"/>
        <w:tblGridChange w:id="0">
          <w:tblGrid>
            <w:gridCol w:w="2730"/>
            <w:gridCol w:w="4873"/>
            <w:gridCol w:w="23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ATRIBUIÇÕES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GRATIFICAÇÃO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ind w:right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Diretor de Integração Orçamentária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Dar o adequado tratamento aos dados contábeis e financeiros da Câmara Municipal de modo a permitir a sua inserção no Sistema da Prefeitura Municipal de Timóteo, enquanto não sobrevier a integração entre os sistemas dos Poderes Executivo e Legislativo, que torne desnecessária a alimentação em duplicidade.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R$ 3.200,00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ind w:right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Assessor de Integração Orçamentária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Assessorar o Diretor de Integração Orçamentária no tratamento dos dados, com vistas à alimentação do Sistema do Executivo com as informações sobre a execução orçamentária e financeira.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R$ 1.600,00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ind w:right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Assessor de Integração Orçamentária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Assessorar o Diretor de Integração Orçamentária e o Assessor de Integração Orçamentária I, alimentando o Sistema do Executivo com os dados e informações sobre a execução orçamentária e financeira.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R$ 1.050,00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ind w:right="0" w:firstLine="1395"/>
        <w:jc w:val="both"/>
        <w:rPr>
          <w:rFonts w:ascii="Arial" w:cs="Arial" w:eastAsia="Arial" w:hAnsi="Arial"/>
          <w:b w:val="0"/>
          <w:bCs w:val="0"/>
          <w:i w:val="0"/>
          <w:iC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right="0" w:firstLine="1395"/>
        <w:jc w:val="both"/>
        <w:rPr>
          <w:rFonts w:ascii="Arial" w:cs="Arial" w:eastAsia="Arial" w:hAnsi="Arial"/>
          <w:b w:val="0"/>
          <w:bCs w:val="0"/>
          <w:i w:val="0"/>
          <w:iC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right="0" w:firstLine="1395"/>
        <w:jc w:val="both"/>
        <w:rPr>
          <w:rFonts w:ascii="Arial" w:cs="Arial" w:eastAsia="Arial" w:hAnsi="Arial"/>
          <w:b w:val="0"/>
          <w:bCs w:val="0"/>
          <w:i w:val="0"/>
          <w:iC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right="0" w:firstLine="1395"/>
        <w:jc w:val="both"/>
        <w:rPr>
          <w:rFonts w:ascii="Arial" w:cs="Arial" w:eastAsia="Arial" w:hAnsi="Arial"/>
          <w:b w:val="0"/>
          <w:bCs w:val="0"/>
          <w:i w:val="0"/>
          <w:iC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right="0" w:firstLine="1395"/>
        <w:jc w:val="both"/>
        <w:rPr>
          <w:rFonts w:ascii="Arial" w:cs="Arial" w:eastAsia="Arial" w:hAnsi="Arial"/>
          <w:b w:val="0"/>
          <w:bCs w:val="0"/>
          <w:i w:val="0"/>
          <w:iC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right="0" w:firstLine="1395"/>
        <w:jc w:val="both"/>
        <w:rPr>
          <w:rFonts w:ascii="Arial" w:cs="Arial" w:eastAsia="Arial" w:hAnsi="Arial"/>
          <w:b w:val="0"/>
          <w:bCs w:val="0"/>
          <w:i w:val="0"/>
          <w:iC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right="0" w:firstLine="1395"/>
        <w:jc w:val="both"/>
        <w:rPr>
          <w:rFonts w:ascii="Arial" w:cs="Arial" w:eastAsia="Arial" w:hAnsi="Arial"/>
          <w:b w:val="0"/>
          <w:bCs w:val="0"/>
          <w:i w:val="0"/>
          <w:iC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right="0" w:firstLine="1395"/>
        <w:jc w:val="both"/>
        <w:rPr>
          <w:rFonts w:ascii="Arial" w:cs="Arial" w:eastAsia="Arial" w:hAnsi="Arial"/>
          <w:b w:val="0"/>
          <w:bCs w:val="0"/>
          <w:i w:val="0"/>
          <w:iC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right="0" w:firstLine="1395"/>
        <w:jc w:val="both"/>
        <w:rPr>
          <w:rFonts w:ascii="Arial" w:cs="Arial" w:eastAsia="Arial" w:hAnsi="Arial"/>
          <w:b w:val="0"/>
          <w:bCs w:val="0"/>
          <w:i w:val="0"/>
          <w:iC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right="0" w:firstLine="1395"/>
        <w:jc w:val="both"/>
        <w:rPr>
          <w:rFonts w:ascii="Arial" w:cs="Arial" w:eastAsia="Arial" w:hAnsi="Arial"/>
          <w:b w:val="0"/>
          <w:bCs w:val="0"/>
          <w:i w:val="0"/>
          <w:iC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right="0" w:firstLine="1395"/>
        <w:jc w:val="both"/>
        <w:rPr>
          <w:rFonts w:ascii="Arial" w:cs="Arial" w:eastAsia="Arial" w:hAnsi="Arial"/>
          <w:b w:val="0"/>
          <w:bCs w:val="0"/>
          <w:i w:val="0"/>
          <w:iC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right="0" w:firstLine="1395"/>
        <w:jc w:val="both"/>
        <w:rPr>
          <w:rFonts w:ascii="Arial" w:cs="Arial" w:eastAsia="Arial" w:hAnsi="Arial"/>
          <w:b w:val="0"/>
          <w:bCs w:val="0"/>
          <w:i w:val="0"/>
          <w:iC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right="0" w:firstLine="139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right="0" w:firstLine="139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right="0" w:firstLine="139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right="0" w:firstLine="139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right="0" w:firstLine="139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right="0" w:firstLine="139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right="0" w:firstLine="139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right="0" w:firstLine="139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right="0" w:firstLine="139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right="0" w:firstLine="139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right="0" w:firstLine="139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right="0" w:firstLine="139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right="0" w:firstLine="139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after="57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PARECER JURÍDICO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after="57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57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</w:t>
        <w:tab/>
        <w:tab/>
        <w:t xml:space="preserve">: </w:t>
      </w:r>
      <w:r w:rsidDel="00000000" w:rsidR="00000000" w:rsidRPr="00000000">
        <w:rPr>
          <w:rtl w:val="0"/>
        </w:rPr>
        <w:t xml:space="preserve">Procuradoria-Geral da Câmara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57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Para</w:t>
        <w:tab/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Mesa Diretora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57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Matéria</w:t>
        <w:tab/>
        <w:t xml:space="preserve">: </w:t>
      </w:r>
      <w:r w:rsidDel="00000000" w:rsidR="00000000" w:rsidRPr="00000000">
        <w:rPr>
          <w:rtl w:val="0"/>
        </w:rPr>
        <w:t xml:space="preserve">Projeto de Resolução n°. 570, de 15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de dezembro de 2025 que </w:t>
      </w:r>
      <w:r w:rsidDel="00000000" w:rsidR="00000000" w:rsidRPr="00000000">
        <w:rPr>
          <w:i w:val="1"/>
          <w:iCs w:val="1"/>
          <w:rtl w:val="0"/>
        </w:rPr>
        <w:t xml:space="preserve">“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Cria funções gratificadas para os fins que especifica</w:t>
      </w:r>
      <w:r w:rsidDel="00000000" w:rsidR="00000000" w:rsidRPr="00000000">
        <w:rPr>
          <w:i w:val="1"/>
          <w:iCs w:val="1"/>
          <w:rtl w:val="0"/>
        </w:rPr>
        <w:t xml:space="preserve">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57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Data</w:t>
        <w:tab/>
        <w:tab/>
        <w:t xml:space="preserve">: </w:t>
      </w:r>
      <w:r w:rsidDel="00000000" w:rsidR="00000000" w:rsidRPr="00000000">
        <w:rPr>
          <w:rtl w:val="0"/>
        </w:rPr>
        <w:t xml:space="preserve">16/12/2025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57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I - 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57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57" w:lineRule="auto"/>
        <w:jc w:val="both"/>
        <w:rPr/>
      </w:pPr>
      <w:r w:rsidDel="00000000" w:rsidR="00000000" w:rsidRPr="00000000">
        <w:rPr>
          <w:rtl w:val="0"/>
        </w:rPr>
        <w:t xml:space="preserve">Pretende a Mesa Diretora criar uma função de confiança a serem exercidas exclusivamente por servidor ocupantes de cargo efetivo.</w:t>
      </w:r>
    </w:p>
    <w:p w:rsidR="00000000" w:rsidDel="00000000" w:rsidP="00000000" w:rsidRDefault="00000000" w:rsidRPr="00000000" w14:paraId="00000069">
      <w:pPr>
        <w:spacing w:after="57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É o relatório.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57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II - FUNDAMENTAÇÃO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57" w:lineRule="auto"/>
        <w:jc w:val="both"/>
        <w:rPr/>
      </w:pPr>
      <w:r w:rsidDel="00000000" w:rsidR="00000000" w:rsidRPr="00000000">
        <w:rPr>
          <w:rtl w:val="0"/>
        </w:rPr>
        <w:t xml:space="preserve">Cuida-se de matéria político-administrativa a proposição que cuida de organizar e regulamentar os serviços administrativos, conforme art. 193 do Regimento Interno desta Casa. </w:t>
      </w:r>
    </w:p>
    <w:p w:rsidR="00000000" w:rsidDel="00000000" w:rsidP="00000000" w:rsidRDefault="00000000" w:rsidRPr="00000000" w14:paraId="0000006C">
      <w:pPr>
        <w:spacing w:after="57" w:lineRule="auto"/>
        <w:jc w:val="both"/>
        <w:rPr/>
      </w:pPr>
      <w:r w:rsidDel="00000000" w:rsidR="00000000" w:rsidRPr="00000000">
        <w:rPr>
          <w:rtl w:val="0"/>
        </w:rPr>
        <w:t xml:space="preserve">Tratando-se de matéria interna corporis, não há óbice legal na tramitação da matéria, nem prejuízo em sua aprovação.</w:t>
      </w:r>
    </w:p>
    <w:p w:rsidR="00000000" w:rsidDel="00000000" w:rsidP="00000000" w:rsidRDefault="00000000" w:rsidRPr="00000000" w14:paraId="0000006D">
      <w:pPr>
        <w:spacing w:after="85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Em atendimento ao disposto na Lei de Responsabilidade Fiscal, veio devidamente acompanhada da Estimativa do Impacto Orçamentário-Financeiro, com a declaração de que as despesas não comprometerão as metas fiscais previstas na LDO e o equilíbrio das contas públicas.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57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III - 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57" w:lineRule="auto"/>
        <w:jc w:val="both"/>
        <w:rPr/>
      </w:pPr>
      <w:r w:rsidDel="00000000" w:rsidR="00000000" w:rsidRPr="00000000">
        <w:rPr>
          <w:rtl w:val="0"/>
        </w:rPr>
        <w:t xml:space="preserve">Ante o exposto, esta Procuradoria opina pela regular tramitação da matéria, nos moldes regimentais.</w:t>
      </w:r>
    </w:p>
    <w:p w:rsidR="00000000" w:rsidDel="00000000" w:rsidP="00000000" w:rsidRDefault="00000000" w:rsidRPr="00000000" w14:paraId="00000070">
      <w:pPr>
        <w:spacing w:after="57" w:lineRule="auto"/>
        <w:jc w:val="both"/>
        <w:rPr/>
      </w:pPr>
      <w:r w:rsidDel="00000000" w:rsidR="00000000" w:rsidRPr="00000000">
        <w:rPr>
          <w:rtl w:val="0"/>
        </w:rPr>
        <w:t xml:space="preserve">É o parecer, salvo melhor juízo.</w:t>
      </w:r>
    </w:p>
    <w:p w:rsidR="00000000" w:rsidDel="00000000" w:rsidP="00000000" w:rsidRDefault="00000000" w:rsidRPr="00000000" w14:paraId="00000071">
      <w:pPr>
        <w:spacing w:after="57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57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Heyder Torre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57" w:lineRule="auto"/>
        <w:jc w:val="both"/>
        <w:rPr/>
      </w:pPr>
      <w:r w:rsidDel="00000000" w:rsidR="00000000" w:rsidRPr="00000000">
        <w:rPr>
          <w:rtl w:val="0"/>
        </w:rPr>
        <w:t xml:space="preserve">Advogado</w:t>
      </w:r>
    </w:p>
    <w:p w:rsidR="00000000" w:rsidDel="00000000" w:rsidP="00000000" w:rsidRDefault="00000000" w:rsidRPr="00000000" w14:paraId="00000074">
      <w:pPr>
        <w:spacing w:after="57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57" w:lineRule="auto"/>
        <w:jc w:val="both"/>
        <w:rPr/>
      </w:pPr>
      <w:r w:rsidDel="00000000" w:rsidR="00000000" w:rsidRPr="00000000">
        <w:rPr>
          <w:rtl w:val="0"/>
        </w:rPr>
        <w:t xml:space="preserve">De acordo com o PARECER.</w:t>
      </w:r>
    </w:p>
    <w:p w:rsidR="00000000" w:rsidDel="00000000" w:rsidP="00000000" w:rsidRDefault="00000000" w:rsidRPr="00000000" w14:paraId="00000076">
      <w:pPr>
        <w:spacing w:after="57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57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Marcelo Vianello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57" w:lineRule="auto"/>
        <w:ind w:firstLine="15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  <w:t xml:space="preserve">Procurador-Geral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right="0" w:firstLine="139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right="0" w:firstLine="1395"/>
        <w:jc w:val="both"/>
        <w:rPr>
          <w:rFonts w:ascii="Arial" w:cs="Arial" w:eastAsia="Arial" w:hAnsi="Arial"/>
          <w:b w:val="0"/>
          <w:bCs w:val="0"/>
          <w:i w:val="0"/>
          <w:iC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right="0" w:firstLine="1395"/>
        <w:jc w:val="both"/>
        <w:rPr>
          <w:rFonts w:ascii="Arial" w:cs="Arial" w:eastAsia="Arial" w:hAnsi="Arial"/>
          <w:b w:val="0"/>
          <w:bCs w:val="0"/>
          <w:i w:val="0"/>
          <w:iCs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right="0" w:firstLine="1395"/>
        <w:jc w:val="both"/>
        <w:rPr>
          <w:rFonts w:ascii="Arial" w:cs="Arial" w:eastAsia="Arial" w:hAnsi="Arial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2438" w:left="1134" w:right="1134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72"/>
      <w:szCs w:val="72"/>
    </w:rPr>
  </w:style>
  <w:style w:type="character" w:styleId="Absatz-Standardschriftart">
    <w:name w:val="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">
    <w:name w:val="WW-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Strong">
    <w:name w:val="Strong"/>
    <w:qFormat w:val="1"/>
    <w:rPr>
      <w:b w:val="1"/>
      <w:bCs w:val="1"/>
      <w:w w:val="100"/>
      <w:position w:val="0"/>
      <w:sz w:val="24"/>
      <w:effect w:val="none"/>
      <w:vertAlign w:val="baseline"/>
      <w:em w:val="none"/>
    </w:rPr>
  </w:style>
  <w:style w:type="character" w:styleId="Fontepargpadro">
    <w:name w:val="Fonte parág. padrão"/>
    <w:qFormat w:val="1"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ítulo"/>
    <w:basedOn w:val="Normal1"/>
    <w:next w:val="BodyText"/>
    <w:qFormat w:val="1"/>
    <w:pPr>
      <w:keepNext w:val="1"/>
      <w:widowControl w:val="0"/>
      <w:suppressAutoHyphens w:val="0"/>
      <w:bidi w:val="0"/>
      <w:spacing w:after="120" w:before="240" w:line="1" w:lineRule="atLeast"/>
      <w:textAlignment w:val="top"/>
      <w:outlineLvl w:val="0"/>
    </w:pPr>
    <w:rPr>
      <w:rFonts w:ascii="Arial" w:cs="Lohit Hindi" w:eastAsia="WenQuanYi Micro Hei" w:hAnsi="Arial"/>
      <w:w w:val="100"/>
      <w:kern w:val="2"/>
      <w:position w:val="-1"/>
      <w:sz w:val="28"/>
      <w:szCs w:val="28"/>
      <w:effect w:val="none"/>
      <w:em w:val="none"/>
      <w:lang w:bidi="hi-IN" w:eastAsia="zh-CN" w:val="pt-BR"/>
    </w:rPr>
  </w:style>
  <w:style w:type="paragraph" w:styleId="BodyText">
    <w:name w:val="Body Text"/>
    <w:basedOn w:val="Normal1"/>
    <w:qFormat w:val="1"/>
    <w:pPr>
      <w:widowControl w:val="0"/>
      <w:suppressAutoHyphens w:val="0"/>
      <w:bidi w:val="0"/>
      <w:spacing w:after="120" w:before="0" w:line="1" w:lineRule="atLeast"/>
      <w:textAlignment w:val="top"/>
      <w:outlineLvl w:val="0"/>
    </w:pPr>
    <w:rPr>
      <w:rFonts w:ascii="Times New Roman" w:cs="Lohit Hindi" w:eastAsia="WenQuanYi Micro Hei" w:hAnsi="Times New Roman"/>
      <w:w w:val="100"/>
      <w:kern w:val="2"/>
      <w:sz w:val="24"/>
      <w:szCs w:val="24"/>
      <w:effect w:val="none"/>
      <w:vertAlign w:val="subscript"/>
      <w:em w:val="none"/>
      <w:lang w:bidi="hi-IN" w:eastAsia="zh-CN" w:val="pt-BR"/>
    </w:rPr>
  </w:style>
  <w:style w:type="paragraph" w:styleId="List">
    <w:name w:val="List"/>
    <w:basedOn w:val="BodyText"/>
    <w:qFormat w:val="1"/>
    <w:pPr>
      <w:widowControl w:val="0"/>
      <w:suppressAutoHyphens w:val="0"/>
      <w:bidi w:val="0"/>
      <w:spacing w:after="120" w:before="0" w:line="1" w:lineRule="atLeast"/>
      <w:textAlignment w:val="top"/>
    </w:pPr>
    <w:rPr>
      <w:rFonts w:ascii="Times New Roman" w:cs="Lohit Hindi" w:eastAsia="WenQuanYi Micro Hei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">
    <w:name w:val="Caption"/>
    <w:basedOn w:val="Normal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Times New Roman" w:cs="Arial" w:eastAsia="WenQuanYi Micro He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Ndice">
    <w:name w:val="Índice"/>
    <w:basedOn w:val="Normal1"/>
    <w:qFormat w:val="1"/>
    <w:pPr>
      <w:widowControl w:val="0"/>
      <w:suppressLineNumbers w:val="1"/>
      <w:suppressAutoHyphens w:val="0"/>
      <w:bidi w:val="0"/>
      <w:spacing w:line="1" w:lineRule="atLeast"/>
      <w:textAlignment w:val="top"/>
      <w:outlineLvl w:val="0"/>
    </w:pPr>
    <w:rPr>
      <w:rFonts w:ascii="Times New Roman" w:cs="Lohit Hindi" w:eastAsia="WenQuanYi Micro Hei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Normal1" w:default="1">
    <w:name w:val="normal1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Caption1">
    <w:name w:val="caption1"/>
    <w:basedOn w:val="Normal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Times New Roman" w:cs="Arial" w:eastAsia="WenQuanYi Micro He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">
    <w:name w:val="caption11"/>
    <w:basedOn w:val="Normal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Times New Roman" w:cs="Arial" w:eastAsia="WenQuanYi Micro He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">
    <w:name w:val="Caption111"/>
    <w:basedOn w:val="Normal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Times New Roman" w:cs="Lohit Devanagari" w:eastAsia="WenQuanYi Micro He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">
    <w:name w:val="Caption1111"/>
    <w:basedOn w:val="Normal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Times New Roman" w:cs="Arial" w:eastAsia="WenQuanYi Micro He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">
    <w:name w:val="Caption11111"/>
    <w:basedOn w:val="Normal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Times New Roman" w:cs="Lohit Hindi" w:eastAsia="WenQuanYi Micro He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ontedodetabela">
    <w:name w:val="Conteúdo de tabela"/>
    <w:basedOn w:val="Normal1"/>
    <w:qFormat w:val="1"/>
    <w:pPr>
      <w:widowControl w:val="0"/>
      <w:suppressLineNumbers w:val="1"/>
      <w:suppressAutoHyphens w:val="0"/>
      <w:bidi w:val="0"/>
      <w:spacing w:line="1" w:lineRule="atLeast"/>
      <w:textAlignment w:val="top"/>
      <w:outlineLvl w:val="0"/>
    </w:pPr>
    <w:rPr>
      <w:rFonts w:ascii="Times New Roman" w:cs="Lohit Hindi" w:eastAsia="WenQuanYi Micro Hei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BodyTextIndent">
    <w:name w:val="Body Text Indent"/>
    <w:basedOn w:val="Normal1"/>
    <w:qFormat w:val="1"/>
    <w:pPr>
      <w:widowControl w:val="0"/>
      <w:suppressAutoHyphens w:val="0"/>
      <w:bidi w:val="0"/>
      <w:spacing w:after="0" w:before="0" w:line="1" w:lineRule="atLeast"/>
      <w:ind w:left="5670" w:right="0" w:hanging="0"/>
      <w:jc w:val="both"/>
      <w:textAlignment w:val="top"/>
      <w:outlineLvl w:val="0"/>
    </w:pPr>
    <w:rPr>
      <w:rFonts w:ascii="Arial" w:cs="Arial" w:eastAsia="WenQuanYi Micro Hei" w:hAnsi="Arial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ontedodatabela">
    <w:name w:val="Conteúdo da tabela"/>
    <w:basedOn w:val="Normal1"/>
    <w:qFormat w:val="1"/>
    <w:pPr>
      <w:widowControl w:val="0"/>
      <w:suppressLineNumbers w:val="1"/>
      <w:suppressAutoHyphens w:val="0"/>
      <w:bidi w:val="0"/>
      <w:spacing w:line="1" w:lineRule="atLeast"/>
      <w:textAlignment w:val="top"/>
      <w:outlineLvl w:val="0"/>
    </w:pPr>
    <w:rPr>
      <w:rFonts w:ascii="Times New Roman" w:cs="Lohit Hindi" w:eastAsia="WenQuanYi Micro Hei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Ttulodetabela">
    <w:name w:val="Título de tabela"/>
    <w:basedOn w:val="Contedodatabela"/>
    <w:qFormat w:val="1"/>
    <w:pPr>
      <w:widowControl w:val="0"/>
      <w:suppressLineNumbers w:val="1"/>
      <w:suppressAutoHyphens w:val="0"/>
      <w:bidi w:val="0"/>
      <w:spacing w:line="1" w:lineRule="atLeast"/>
      <w:jc w:val="center"/>
      <w:textAlignment w:val="top"/>
    </w:pPr>
    <w:rPr>
      <w:rFonts w:ascii="Times New Roman" w:cs="Lohit Hindi" w:eastAsia="WenQuanYi Micro Hei" w:hAnsi="Times New Roman"/>
      <w:b w:val="1"/>
      <w:b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Lj75IkUMkDHski4CWFdS2Wt4sA==">CgMxLjA4AHIhMTBsbkwwQWIyRnlxdzMyUUwxazRDd2JXTTIxcHZRSHZP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2013-11-26T16:05:23Z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